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Довідка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щодо розміщених інформаційних матеріалів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 питань </w:t>
      </w:r>
      <w:r>
        <w:rPr>
          <w:rFonts w:ascii="Times New Roman" w:hAnsi="Times New Roman"/>
          <w:b/>
          <w:sz w:val="28"/>
          <w:szCs w:val="28"/>
        </w:rPr>
        <w:t xml:space="preserve">ветеранської політики 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2025 рік</w:t>
      </w:r>
    </w:p>
    <w:p>
      <w:pPr>
        <w:pStyle w:val="Normal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межах реалізації Національної стратегії зі створення безбар’єрного простору в Україні на період до 2030 року, зокрема підпункту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4 пункту 24 </w:t>
      </w:r>
      <w:r>
        <w:rPr>
          <w:rFonts w:ascii="Times New Roman" w:hAnsi="Times New Roman"/>
          <w:sz w:val="28"/>
          <w:szCs w:val="28"/>
          <w:lang w:val="ru-RU"/>
        </w:rPr>
        <w:t xml:space="preserve">Стратегічної цілі „</w:t>
      </w:r>
      <w:r>
        <w:rPr>
          <w:rFonts w:ascii="Times New Roman" w:hAnsi="Times New Roman"/>
          <w:sz w:val="28"/>
          <w:szCs w:val="28"/>
          <w:lang w:val="ru-RU"/>
        </w:rPr>
        <w:t xml:space="preserve">Публічна інформація субʼєктів владних повноважень є доступною для кожного у різних форматах”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Плану заходів на 2025 – </w:t>
      </w:r>
      <w:r>
        <w:rPr>
          <w:rFonts w:ascii="Times New Roman" w:hAnsi="Times New Roman"/>
          <w:sz w:val="28"/>
          <w:szCs w:val="28"/>
        </w:rPr>
        <w:t xml:space="preserve">2026</w:t>
      </w:r>
      <w:r>
        <w:rPr>
          <w:rFonts w:ascii="Times New Roman" w:hAnsi="Times New Roman"/>
          <w:sz w:val="28"/>
          <w:szCs w:val="28"/>
        </w:rPr>
        <w:t xml:space="preserve"> роки, у</w:t>
      </w:r>
      <w:r>
        <w:rPr>
          <w:rFonts w:ascii="Times New Roman" w:hAnsi="Times New Roman"/>
          <w:sz w:val="28"/>
          <w:szCs w:val="28"/>
        </w:rPr>
        <w:t xml:space="preserve">продовж 2025 року управлінням з питань ветеранської політики Тернопільської обласної військової адміністрації з метою забезпечення проведення інформаційної кампанії на виконання</w:t>
      </w:r>
      <w:r>
        <w:rPr>
          <w:rFonts w:ascii="Times New Roman" w:hAnsi="Times New Roman"/>
          <w:sz w:val="28"/>
          <w:szCs w:val="28"/>
        </w:rPr>
        <w:t xml:space="preserve"> листів Міністерства у справах ветеранів України у розділі „Ветеранська політика” офіційно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вебсайт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 обласної військової адміністрації було розміщено </w:t>
      </w:r>
      <w:r>
        <w:rPr>
          <w:rFonts w:ascii="Times New Roman" w:hAnsi="Times New Roman"/>
          <w:sz w:val="28"/>
          <w:szCs w:val="28"/>
        </w:rPr>
        <w:t xml:space="preserve">наступні інформаційні матеріали</w:t>
      </w:r>
      <w:r>
        <w:rPr>
          <w:rFonts w:ascii="Times New Roman" w:hAnsi="Times New Roman"/>
          <w:sz w:val="28"/>
          <w:szCs w:val="28"/>
        </w:rPr>
        <w:t xml:space="preserve"> з питань ветеранської політики: </w:t>
      </w:r>
      <w:r>
        <w:rPr>
          <w:rFonts w:ascii="Times New Roman" w:hAnsi="Times New Roman"/>
          <w:sz w:val="28"/>
          <w:szCs w:val="28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  <w:tblLayout w:type="autofit"/>
      </w:tblPr>
      <w:tblGrid>
        <w:gridCol w:w="5183"/>
        <w:gridCol w:w="5183"/>
      </w:tblGrid>
      <w:tr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"https://oda.te.gov.ua/diyalnist/veteranska-polityka/kariera-veterana"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sz w:val="28"/>
                <w:szCs w:val="28"/>
              </w:rPr>
              <w:t xml:space="preserve">Карʼєра ветерана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spacing w:after="120" w:line="240" w:lineRule="auto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Про онлайн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ресурс „Кар’єра ветерана”, розроблений Українським ветеранським фондом Мінветеранів,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покликаний допомогти українським захисникам і захисницям після завершення служби успішно адаптуватися до цивільного життя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</w:tr>
      <w:tr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"https://oda.te.gov.ua/diyalnist/veteranska-polityka/onlain-prohrama-druzhyna-veterana"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sz w:val="28"/>
                <w:szCs w:val="28"/>
              </w:rPr>
              <w:t xml:space="preserve">Онлайн програма „Дружина ветерана”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spacing w:after="120" w:line="240" w:lineRule="auto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Про онлайн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-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програму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, спрямовану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 на зміцнення стійкості сімей ветеранів,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сприяння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 економічному та соціальному благополуччю.</w:t>
            </w:r>
          </w:p>
        </w:tc>
      </w:tr>
      <w:tr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"https://oda.te.gov.ua/diyalnist/veteranska-polityka/informatsiia-pro-bezkoshtovnyi-navchalnyi-kurs-na-profesii-montazhnyka-tsi-chy-proektuvalnyka-tsi-soniachnykh-elektrostantsii-dlia-veteraniv-veteranok-ta-vnutrishno-peremishchenykh-osib"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sz w:val="28"/>
                <w:szCs w:val="28"/>
              </w:rPr>
              <w:t xml:space="preserve">Інформація про безкоштовний навчальний курс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spacing w:after="120" w:line="240" w:lineRule="auto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безкоштовний навчальний курс на професії монтажника/-ці чи проектувальника/-ці сонячних електростанцій для ветеранів, ветеранок та внутрішньо переміщених осіб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</w:tr>
      <w:tr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HtmlNormal"/>
              <w:shd w:val="clear" w:color="auto" w:fill="ffffff"/>
              <w:spacing w:after="0" w:afterAutospacing="0" w:before="0" w:beforeAutospacing="0" w:line="405" w:lineRule="atLeast"/>
              <w:rPr>
                <w:color w:val="1f4e79"/>
                <w:sz w:val="28"/>
                <w:szCs w:val="28"/>
              </w:rPr>
            </w:pPr>
            <w:r>
              <w:rPr>
                <w:color w:val="1f4e79"/>
                <w:sz w:val="28"/>
                <w:szCs w:val="28"/>
                <w:shd w:val="clear" w:color="auto" w:fill="ffffff"/>
              </w:rPr>
              <w:fldChar w:fldCharType="begin"/>
            </w:r>
            <w:r>
              <w:rPr>
                <w:color w:val="1f4e79"/>
                <w:sz w:val="28"/>
                <w:szCs w:val="28"/>
                <w:shd w:val="clear" w:color="auto" w:fill="ffffff"/>
              </w:rPr>
              <w:instrText xml:space="preserve"> HYPERLINK "https://oda.te.gov.ua/storage/app/sites/26/uploaded-files/%20%D0%BE%D1%82%D1%80%D0%B8%D0%BC%D0%B0%D1%82%D0%B8%20%D1%81%D1%82%D0%B0%D1%82%D1%83%D1%81%20%D1%83%D1%87%D0%B0%D1%81%D0%BD%D0%B8%D0%BA%D0%B0%20%D0%B1%D0%BE%D0%B9%D0%BE%D0%B2%D0%B8%D1%85%20%D0%B4%D1%96%D0%B9%20%D0%B4%D0%BE%D0%B1%D1%80%D0%BE%D0%B2%D0%BE%D0%BB%D1%8C%D1%86%D1%8F%D0%BC.pdf" </w:instrText>
            </w:r>
            <w:r>
              <w:rPr>
                <w:color w:val="1f4e79"/>
                <w:sz w:val="28"/>
                <w:szCs w:val="28"/>
                <w:shd w:val="clear" w:color="auto" w:fill="ffffff"/>
              </w:rPr>
            </w:r>
            <w:r>
              <w:rPr>
                <w:color w:val="1f4e79"/>
                <w:sz w:val="28"/>
                <w:szCs w:val="28"/>
                <w:shd w:val="clear" w:color="auto" w:fill="ffffff"/>
              </w:rPr>
              <w:fldChar w:fldCharType="separate"/>
            </w:r>
            <w:r>
              <w:rPr>
                <w:rStyle w:val="Hyperlink"/>
                <w:sz w:val="28"/>
                <w:szCs w:val="28"/>
                <w:shd w:val="clear" w:color="auto" w:fill="ffffff"/>
              </w:rPr>
              <w:t xml:space="preserve">Як отримати статус учасника бойових дій добровольцям</w:t>
            </w:r>
            <w:r>
              <w:rPr>
                <w:color w:val="1f4e79"/>
                <w:sz w:val="28"/>
                <w:szCs w:val="28"/>
                <w:shd w:val="clear" w:color="auto" w:fill="ffffff"/>
              </w:rPr>
              <w:fldChar w:fldCharType="end"/>
            </w:r>
            <w:r>
              <w:rPr>
                <w:color w:val="1f4e79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умови надання статусу учасника бойових дій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HtmlNormal"/>
              <w:shd w:val="clear" w:color="auto" w:fill="ffffff"/>
              <w:spacing w:after="0" w:afterAutospacing="0" w:before="0" w:beforeAutospacing="0" w:line="405" w:lineRule="atLeas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</w:instrText>
            </w:r>
            <w:r>
              <w:rPr>
                <w:sz w:val="28"/>
                <w:szCs w:val="28"/>
              </w:rPr>
              <w:instrText xml:space="preserve">ttps://oda.te.gov.ua/storage/app/sites/26/uploaded-files/%20%D0%B2%D0%B8%20%D0%B4%D0%BE%D0%B1%D1%80%D0%BE%D0%B2%D0%BE%D0%BB%D0%B5%D1%86%D1%8C.pdf" \t "_blank"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Style w:val="Hyperlink"/>
                <w:color w:val="2d5ca6"/>
                <w:sz w:val="28"/>
                <w:szCs w:val="28"/>
                <w:shd w:val="clear" w:color="auto" w:fill="ffffff"/>
              </w:rPr>
              <w:t xml:space="preserve">Якщо ви доброволець</w:t>
            </w:r>
            <w:r>
              <w:rPr>
                <w:rStyle w:val="UserStyle_4"/>
                <w:color w:val="444444"/>
                <w:sz w:val="28"/>
                <w:szCs w:val="28"/>
                <w:shd w:val="clear" w:color="auto" w:fill="ffffff"/>
              </w:rPr>
              <w:t xml:space="preserve"> 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умови надання статусу учасника бойових дій добровольцям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HYPERLINK "за%20покликанням%20https:/oda.te.gov.ua/diyalnist/veteranska-polityka/informatsiino-dovidkovi-materialy-dlia-veteraniv"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sz w:val="28"/>
                <w:szCs w:val="28"/>
              </w:rPr>
              <w:t xml:space="preserve">Інформаційно-довідкові матеріали для ветеранів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Безоплатна пс</w:t>
            </w:r>
            <w:bookmarkStart w:id="0" w:name="_Hlt216424981"/>
            <w:bookmarkStart w:id="1" w:name="_Hlt216424982"/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и</w:t>
            </w:r>
            <w:bookmarkEnd w:id="0"/>
            <w:bookmarkEnd w:id="1"/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хологічн</w:t>
            </w:r>
            <w:bookmarkStart w:id="2" w:name="_Hlt216424964"/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а</w:t>
            </w:r>
            <w:bookmarkEnd w:id="2"/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 допомога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  <w:p>
            <w:pPr>
              <w:pStyle w:val="Normal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Безоплатна юридична допомога ветеранам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  <w:p>
            <w:pPr>
              <w:pStyle w:val="Normal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Безоплатне протезування для ветеранів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  <w:p>
            <w:pPr>
              <w:pStyle w:val="Normal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Безоплатні стоматологічні послуги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  <w:p>
            <w:pPr>
              <w:pStyle w:val="Normal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Грантові можливості для ветеранів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  <w:p>
            <w:pPr>
              <w:pStyle w:val="Normal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Єдиний цифровий простір для ветеранів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  <w:p>
            <w:pPr>
              <w:pStyle w:val="Normal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Медичні послуги для ветеранів 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  <w:p>
            <w:pPr>
              <w:pStyle w:val="Normal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Програма здобуття освіти для ветеранів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  <w:p>
            <w:pPr>
              <w:pStyle w:val="Normal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Фахівці із супроводу ветеранів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HtmlNormal"/>
              <w:shd w:val="clear" w:color="auto" w:fill="ffffff"/>
              <w:spacing w:after="120" w:afterAutospacing="0"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"https://oda.te.gov.ua/storage/app/sites/26/uploaded-files/%20%D0%BC%D0%B0%D1%82%D0%B5%D1%80%D1%96%D0%B0%D0%BB%D0%B8.pdf"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Style w:val="Hyperlink"/>
                <w:sz w:val="28"/>
                <w:szCs w:val="28"/>
              </w:rPr>
              <w:t xml:space="preserve">Інформація про пенсійне забезпечення, виплату грошового забезпечення, пільг</w:t>
            </w:r>
            <w:r>
              <w:rPr>
                <w:rStyle w:val="Hyperlink"/>
                <w:sz w:val="28"/>
                <w:szCs w:val="28"/>
              </w:rPr>
              <w:t xml:space="preserve">и</w:t>
            </w:r>
            <w:r>
              <w:rPr>
                <w:rStyle w:val="Hyperlink"/>
                <w:sz w:val="28"/>
                <w:szCs w:val="28"/>
              </w:rPr>
              <w:t xml:space="preserve"> на ЖКП та отримання витягу з ЄДРВВ для членів сімей військовослужбовців, які зникли безвісти, захоплені в полон або заручниками, інтерновані у нейтральних державах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Довідкова інформація про пенсійне забезпечення, грошове забезпечення та пільги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HtmlNormal"/>
              <w:shd w:val="clear" w:color="auto" w:fill="ffffff"/>
              <w:spacing w:after="120" w:afterAutospacing="0"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"https://oda.te.gov.ua/storage/app/sites/26/uploaded-files/kontaktna-informaciia-faxivciv-iz-suprovodu-veteraniv-viini.pdf"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Style w:val="Hyperlink"/>
                <w:sz w:val="28"/>
                <w:szCs w:val="28"/>
              </w:rPr>
              <w:t xml:space="preserve">Інформація про фахівців із супроводу ветеранів війни та демобілізованих осіб Тернопільської області станом на 01.12.2025 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Контактна інформація фахівців із супроводу ветеранів війни та демобілізованих осіб, які працюють в області</w:t>
            </w:r>
          </w:p>
        </w:tc>
      </w:tr>
      <w:tr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HtmlNormal"/>
              <w:shd w:val="clear" w:color="auto" w:fill="ffffff"/>
              <w:spacing w:after="0" w:afterAutospacing="0"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"https://oda.te.gov.ua/storage/app/sites/26/uploaded-files/_%D0%BD%D0%B8%D0%B8_%20%D1%81%D0%BB%D0%B0%D0%B8_%D0%B4%20%D0%94%D0%A1%D0%97.pdf"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Style w:val="Hyperlink"/>
                <w:sz w:val="28"/>
                <w:szCs w:val="28"/>
              </w:rPr>
              <w:t xml:space="preserve">Інформаційний слайд ДСЗ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Інформація Державної служби зайнятості щодо працевлаштування ветеранів</w:t>
            </w:r>
          </w:p>
        </w:tc>
      </w:tr>
      <w:tr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HtmlNormal"/>
              <w:shd w:val="clear" w:color="auto" w:fill="ffffff"/>
              <w:spacing w:after="0" w:afterAutospacing="0"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"https://oda.te.gov.ua/storage/app/sites/26/uploaded-files/zitlo-2025.pdf"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Style w:val="Hyperlink"/>
                <w:sz w:val="28"/>
                <w:szCs w:val="28"/>
              </w:rPr>
              <w:t xml:space="preserve">Виплата грошової компенсації особам, які захищали незалежність, суверенітет та територіальну цілісність України, за найм (оренду) ними житлових приміщень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</w:r>
          </w:p>
        </w:tc>
        <w:tc>
          <w:tcPr>
            <w:tcW w:w="51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умови щодо виплати грошової компенсації за найм (оренду) житлових приміщень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after="0" w:line="405" w:lineRule="atLeast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 </w:t>
      </w:r>
    </w:p>
    <w:sectPr>
      <w:type w:val="continuous"/>
      <w:pgSz w:h="16840" w:w="11910"/>
      <w:pgMar w:top="709" w:right="460" w:bottom="709" w:left="130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404020203"/>
  </w:font>
  <w:font w:name="Calibri Light">
    <w:panose1 w:val="020F0502020204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nsid w:val="58E80D5A"/>
    <w:lvl w:ilvl="0">
      <w:lvlJc w:val="left"/>
      <w:lvlText w:val=""/>
      <w:numFmt w:val="bullet"/>
      <w:pPr>
        <w:tabs>
          <w:tab w:val="num" w:leader="none" w:pos="720"/>
        </w:tabs>
        <w:ind w:hanging="360" w:left="720"/>
      </w:pPr>
      <w:rPr>
        <w:rFonts w:ascii="Symbol" w:hAnsi="Symbol"/>
        <w:sz w:val="20"/>
      </w:rPr>
      <w:start w:val="1"/>
      <w:suff w:val="tab"/>
    </w:lvl>
    <w:lvl w:ilvl="1">
      <w:lvlJc w:val="left"/>
      <w:lvlText w:val="o"/>
      <w:numFmt w:val="bullet"/>
      <w:pPr>
        <w:tabs>
          <w:tab w:val="num" w:leader="none" w:pos="1440"/>
        </w:tabs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lvlJc w:val="left"/>
      <w:lvlText w:val=""/>
      <w:numFmt w:val="bullet"/>
      <w:pPr>
        <w:tabs>
          <w:tab w:val="num" w:leader="none" w:pos="2160"/>
        </w:tabs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lvlJc w:val="left"/>
      <w:lvlText w:val=""/>
      <w:numFmt w:val="bullet"/>
      <w:pPr>
        <w:tabs>
          <w:tab w:val="num" w:leader="none" w:pos="2880"/>
        </w:tabs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lvlJc w:val="left"/>
      <w:lvlText w:val=""/>
      <w:numFmt w:val="bullet"/>
      <w:pPr>
        <w:tabs>
          <w:tab w:val="num" w:leader="none" w:pos="3600"/>
        </w:tabs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lvlJc w:val="left"/>
      <w:lvlText w:val=""/>
      <w:numFmt w:val="bullet"/>
      <w:pPr>
        <w:tabs>
          <w:tab w:val="num" w:leader="none" w:pos="4320"/>
        </w:tabs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lvlJc w:val="left"/>
      <w:lvlText w:val=""/>
      <w:numFmt w:val="bullet"/>
      <w:pPr>
        <w:tabs>
          <w:tab w:val="num" w:leader="none" w:pos="5040"/>
        </w:tabs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lvlJc w:val="left"/>
      <w:lvlText w:val=""/>
      <w:numFmt w:val="bullet"/>
      <w:pPr>
        <w:tabs>
          <w:tab w:val="num" w:leader="none" w:pos="5760"/>
        </w:tabs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lvlJc w:val="left"/>
      <w:lvlText w:val=""/>
      <w:numFmt w:val="bullet"/>
      <w:pPr>
        <w:tabs>
          <w:tab w:val="num" w:leader="none" w:pos="6480"/>
        </w:tabs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1">
    <w:multiLevelType w:val="multilevel"/>
    <w:nsid w:val="60DC1C58"/>
    <w:lvl w:ilvl="0">
      <w:lvlJc w:val="left"/>
      <w:lvlText w:val=""/>
      <w:numFmt w:val="bullet"/>
      <w:pPr>
        <w:tabs>
          <w:tab w:val="num" w:leader="none" w:pos="720"/>
        </w:tabs>
        <w:ind w:hanging="360" w:left="720"/>
      </w:pPr>
      <w:rPr>
        <w:rFonts w:ascii="Symbol" w:hAnsi="Symbol"/>
        <w:sz w:val="20"/>
      </w:rPr>
      <w:start w:val="1"/>
      <w:suff w:val="tab"/>
    </w:lvl>
    <w:lvl w:ilvl="1">
      <w:lvlJc w:val="left"/>
      <w:lvlText w:val="o"/>
      <w:numFmt w:val="bullet"/>
      <w:pPr>
        <w:tabs>
          <w:tab w:val="num" w:leader="none" w:pos="1440"/>
        </w:tabs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lvlJc w:val="left"/>
      <w:lvlText w:val=""/>
      <w:numFmt w:val="bullet"/>
      <w:pPr>
        <w:tabs>
          <w:tab w:val="num" w:leader="none" w:pos="2160"/>
        </w:tabs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lvlJc w:val="left"/>
      <w:lvlText w:val=""/>
      <w:numFmt w:val="bullet"/>
      <w:pPr>
        <w:tabs>
          <w:tab w:val="num" w:leader="none" w:pos="2880"/>
        </w:tabs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lvlJc w:val="left"/>
      <w:lvlText w:val=""/>
      <w:numFmt w:val="bullet"/>
      <w:pPr>
        <w:tabs>
          <w:tab w:val="num" w:leader="none" w:pos="3600"/>
        </w:tabs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lvlJc w:val="left"/>
      <w:lvlText w:val=""/>
      <w:numFmt w:val="bullet"/>
      <w:pPr>
        <w:tabs>
          <w:tab w:val="num" w:leader="none" w:pos="4320"/>
        </w:tabs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lvlJc w:val="left"/>
      <w:lvlText w:val=""/>
      <w:numFmt w:val="bullet"/>
      <w:pPr>
        <w:tabs>
          <w:tab w:val="num" w:leader="none" w:pos="5040"/>
        </w:tabs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lvlJc w:val="left"/>
      <w:lvlText w:val=""/>
      <w:numFmt w:val="bullet"/>
      <w:pPr>
        <w:tabs>
          <w:tab w:val="num" w:leader="none" w:pos="5760"/>
        </w:tabs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lvlJc w:val="left"/>
      <w:lvlText w:val=""/>
      <w:numFmt w:val="bullet"/>
      <w:pPr>
        <w:tabs>
          <w:tab w:val="num" w:leader="none" w:pos="6480"/>
        </w:tabs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2">
    <w:multiLevelType w:val="multilevel"/>
    <w:nsid w:val="79EF1641"/>
    <w:lvl w:ilvl="0">
      <w:lvlJc w:val="left"/>
      <w:lvlText w:val=""/>
      <w:numFmt w:val="bullet"/>
      <w:pPr>
        <w:tabs>
          <w:tab w:val="num" w:leader="none" w:pos="720"/>
        </w:tabs>
        <w:ind w:hanging="360" w:left="720"/>
      </w:pPr>
      <w:rPr>
        <w:rFonts w:ascii="Symbol" w:hAnsi="Symbol"/>
        <w:sz w:val="20"/>
      </w:rPr>
      <w:start w:val="1"/>
      <w:suff w:val="tab"/>
    </w:lvl>
    <w:lvl w:ilvl="1">
      <w:lvlJc w:val="left"/>
      <w:lvlText w:val="o"/>
      <w:numFmt w:val="bullet"/>
      <w:pPr>
        <w:tabs>
          <w:tab w:val="num" w:leader="none" w:pos="1440"/>
        </w:tabs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lvlJc w:val="left"/>
      <w:lvlText w:val=""/>
      <w:numFmt w:val="bullet"/>
      <w:pPr>
        <w:tabs>
          <w:tab w:val="num" w:leader="none" w:pos="2160"/>
        </w:tabs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lvlJc w:val="left"/>
      <w:lvlText w:val=""/>
      <w:numFmt w:val="bullet"/>
      <w:pPr>
        <w:tabs>
          <w:tab w:val="num" w:leader="none" w:pos="2880"/>
        </w:tabs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lvlJc w:val="left"/>
      <w:lvlText w:val=""/>
      <w:numFmt w:val="bullet"/>
      <w:pPr>
        <w:tabs>
          <w:tab w:val="num" w:leader="none" w:pos="3600"/>
        </w:tabs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lvlJc w:val="left"/>
      <w:lvlText w:val=""/>
      <w:numFmt w:val="bullet"/>
      <w:pPr>
        <w:tabs>
          <w:tab w:val="num" w:leader="none" w:pos="4320"/>
        </w:tabs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lvlJc w:val="left"/>
      <w:lvlText w:val=""/>
      <w:numFmt w:val="bullet"/>
      <w:pPr>
        <w:tabs>
          <w:tab w:val="num" w:leader="none" w:pos="5040"/>
        </w:tabs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lvlJc w:val="left"/>
      <w:lvlText w:val=""/>
      <w:numFmt w:val="bullet"/>
      <w:pPr>
        <w:tabs>
          <w:tab w:val="num" w:leader="none" w:pos="5760"/>
        </w:tabs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lvlJc w:val="left"/>
      <w:lvlText w:val=""/>
      <w:numFmt w:val="bullet"/>
      <w:pPr>
        <w:tabs>
          <w:tab w:val="num" w:leader="none" w:pos="6480"/>
        </w:tabs>
        <w:ind w:hanging="360" w:left="6480"/>
      </w:pPr>
      <w:rPr>
        <w:rFonts w:ascii="Wingdings" w:hAnsi="Wingdings"/>
        <w:sz w:val="20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isplayHorizontalDrawingGridEvery w:val="2"/>
  <w:displayVerticalDrawingGridEvery w:val="1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uk-U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Звичайний"/>
    <w:next w:val="Normal"/>
    <w:link w:val="Normal"/>
    <w:qFormat/>
    <w:pPr>
      <w:spacing w:after="160" w:line="259" w:lineRule="auto"/>
    </w:pPr>
    <w:rPr>
      <w:sz w:val="22"/>
      <w:szCs w:val="22"/>
      <w:lang w:val="uk-UA" w:eastAsia="en-US" w:bidi="ar-SA"/>
    </w:rPr>
  </w:style>
  <w:style w:type="paragraph" w:styleId="Heading2">
    <w:name w:val="Заголовок 2"/>
    <w:basedOn w:val="Normal"/>
    <w:next w:val="Heading2"/>
    <w:link w:val="UserStyle_0"/>
    <w:uiPriority w:val="9"/>
    <w:qFormat/>
    <w:pPr>
      <w:spacing w:after="100" w:afterAutospacing="1" w:before="100" w:before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Heading3">
    <w:name w:val="Заголовок 3"/>
    <w:basedOn w:val="Normal"/>
    <w:next w:val="Normal"/>
    <w:link w:val="UserStyle_1"/>
    <w:uiPriority w:val="9"/>
    <w:semiHidden/>
    <w:unhideWhenUsed/>
    <w:qFormat/>
    <w:pPr>
      <w:keepNext w:val="true"/>
      <w:keepLines w:val="true"/>
      <w:spacing w:after="0" w:before="40"/>
      <w:outlineLvl w:val="2"/>
    </w:pPr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NormalCharacter">
    <w:name w:val="Шрифт абзацу за промовчанням"/>
    <w:next w:val="NormalCharacter"/>
    <w:link w:val="Normal"/>
    <w:uiPriority w:val="1"/>
    <w:semiHidden/>
    <w:unhideWhenUsed/>
  </w:style>
  <w:style w:type="table" w:styleId="TableNormal">
    <w:name w:val="Звичайна таблиця"/>
    <w:next w:val="TableNormal"/>
    <w:link w:val="Normal"/>
    <w:uiPriority w:val="99"/>
    <w:semiHidden/>
    <w:unhideWhenUsed/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Layout w:type="fixed"/>
    </w:tblPr>
  </w:style>
  <w:style w:type="numbering" w:styleId="NormalList">
    <w:name w:val="Немає списку"/>
    <w:next w:val="NormalList"/>
    <w:link w:val="Normal"/>
    <w:uiPriority w:val="99"/>
    <w:semiHidden/>
    <w:unhideWhenUsed/>
  </w:style>
  <w:style w:type="character" w:styleId="Emphasis">
    <w:name w:val="Виділення"/>
    <w:next w:val="Emphasis"/>
    <w:link w:val="Normal"/>
    <w:uiPriority w:val="20"/>
    <w:qFormat/>
    <w:rPr>
      <w:i/>
      <w:iCs/>
    </w:rPr>
  </w:style>
  <w:style w:type="paragraph" w:styleId="BodyText">
    <w:name w:val="Основний текст"/>
    <w:basedOn w:val="Normal"/>
    <w:next w:val="BodyText"/>
    <w:link w:val="UserStyle_2"/>
    <w:uiPriority w:val="1"/>
    <w:qFormat/>
    <w:pPr>
      <w:widowControl w:val="false"/>
      <w:spacing w:after="0" w:line="240" w:lineRule="auto"/>
      <w:ind w:left="25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UserStyle_2">
    <w:name w:val="Основний текст Знак"/>
    <w:next w:val="UserStyle_2"/>
    <w:link w:val="BodyText"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Acetate">
    <w:name w:val="Текст у виносці"/>
    <w:basedOn w:val="Normal"/>
    <w:next w:val="Acetate"/>
    <w:link w:val="UserStyle_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UserStyle_3">
    <w:name w:val="Текст у виносці Знак"/>
    <w:next w:val="UserStyle_3"/>
    <w:link w:val="Acetate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Гіперпосилання"/>
    <w:next w:val="Hyperlink"/>
    <w:link w:val="Normal"/>
    <w:uiPriority w:val="99"/>
    <w:unhideWhenUsed/>
    <w:rPr>
      <w:color w:val="0000ff"/>
      <w:u w:val="single"/>
    </w:rPr>
  </w:style>
  <w:style w:type="character" w:styleId="UserStyle_4">
    <w:name w:val="link-addition-info"/>
    <w:next w:val="UserStyle_4"/>
    <w:link w:val="Normal"/>
  </w:style>
  <w:style w:type="paragraph" w:styleId="HtmlNormal">
    <w:name w:val="Звичайний (веб)"/>
    <w:basedOn w:val="Normal"/>
    <w:next w:val="HtmlNormal"/>
    <w:link w:val="Normal"/>
    <w:uiPriority w:val="99"/>
    <w:unhideWhenUsed/>
    <w:pP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UserStyle_0">
    <w:name w:val="Заголовок 2 Знак"/>
    <w:next w:val="UserStyle_0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Strong">
    <w:name w:val="Строгий"/>
    <w:next w:val="Strong"/>
    <w:link w:val="Normal"/>
    <w:uiPriority w:val="22"/>
    <w:qFormat/>
    <w:rPr>
      <w:b/>
      <w:bCs/>
    </w:rPr>
  </w:style>
  <w:style w:type="character" w:styleId="UserStyle_1">
    <w:name w:val="Заголовок 3 Знак"/>
    <w:next w:val="UserStyle_1"/>
    <w:link w:val="Heading3"/>
    <w:uiPriority w:val="9"/>
    <w:semiHidden/>
    <w:rPr>
      <w:rFonts w:ascii="Calibri Light" w:hAnsi="Calibri Light" w:eastAsia="Times New Roman" w:cs="Times New Roman"/>
      <w:color w:val="1f4d78"/>
      <w:sz w:val="24"/>
      <w:szCs w:val="24"/>
    </w:rPr>
  </w:style>
  <w:style w:type="table" w:styleId="TableGrid">
    <w:name w:val="Сітка таблиці"/>
    <w:basedOn w:val="TableNormal"/>
    <w:next w:val="TableGrid"/>
    <w:link w:val="Normal"/>
    <w:uiPriority w:val="39"/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2842</Words>
  <Characters>1620</Characters>
  <CharactersWithSpaces>4454</CharactersWithSpaces>
  <Application>ONLYOFFICE/9.2.0.100</Application>
  <DocSecurity>0</DocSecurity>
  <Lines>13</Lines>
  <Paragraphs>8</Paragraphs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Veteran1</dc:creator>
  <cp:lastModifiedBy>admin</cp:lastModifiedBy>
  <cp:revision>4</cp:revision>
  <dcterms:created xsi:type="dcterms:W3CDTF">2025-12-11T16:01:00Z</dcterms:created>
  <dcterms:modified xsi:type="dcterms:W3CDTF">2025-12-12T13:32:00Z</dcterms:modified>
  <cp:version>1048576</cp:version>
</cp:coreProperties>
</file>