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82" w:rsidRPr="006D17A5" w:rsidRDefault="009D7C82" w:rsidP="009D7C82">
      <w:pPr>
        <w:ind w:left="3960"/>
        <w:rPr>
          <w:rFonts w:ascii="Times New Roman" w:hAnsi="Times New Roman" w:cs="Times New Roman"/>
          <w:bCs/>
          <w:lang w:val="uk-UA"/>
        </w:rPr>
      </w:pPr>
      <w:bookmarkStart w:id="0" w:name="_GoBack"/>
      <w:bookmarkEnd w:id="0"/>
      <w:r w:rsidRPr="006D17A5">
        <w:rPr>
          <w:rFonts w:ascii="Times New Roman" w:hAnsi="Times New Roman" w:cs="Times New Roman"/>
          <w:bCs/>
          <w:lang w:val="uk-UA"/>
        </w:rPr>
        <w:t>Додаток 1</w:t>
      </w:r>
    </w:p>
    <w:p w:rsidR="009D7C82" w:rsidRPr="006D17A5" w:rsidRDefault="009D7C82" w:rsidP="009D7C82">
      <w:pPr>
        <w:ind w:left="3960"/>
        <w:rPr>
          <w:rFonts w:ascii="Times New Roman" w:hAnsi="Times New Roman" w:cs="Times New Roman"/>
          <w:bCs/>
          <w:lang w:val="uk-UA"/>
        </w:rPr>
      </w:pPr>
      <w:r w:rsidRPr="006D17A5">
        <w:rPr>
          <w:rFonts w:ascii="Times New Roman" w:hAnsi="Times New Roman" w:cs="Times New Roman"/>
          <w:bCs/>
          <w:lang w:val="uk-UA"/>
        </w:rPr>
        <w:t xml:space="preserve">до аналізу регуляторного впливу </w:t>
      </w:r>
    </w:p>
    <w:p w:rsidR="009D7C82" w:rsidRPr="006D17A5" w:rsidRDefault="009D7C82" w:rsidP="009D7C82">
      <w:pPr>
        <w:ind w:left="3960"/>
        <w:rPr>
          <w:rFonts w:ascii="Times New Roman" w:hAnsi="Times New Roman" w:cs="Times New Roman"/>
          <w:bCs/>
          <w:lang w:val="uk-UA"/>
        </w:rPr>
      </w:pPr>
      <w:r w:rsidRPr="006D17A5">
        <w:rPr>
          <w:rFonts w:ascii="Times New Roman" w:hAnsi="Times New Roman" w:cs="Times New Roman"/>
          <w:bCs/>
          <w:lang w:val="uk-UA"/>
        </w:rPr>
        <w:t xml:space="preserve">до проекту розпорядження </w:t>
      </w:r>
    </w:p>
    <w:p w:rsidR="009D7C82" w:rsidRPr="006D17A5" w:rsidRDefault="00FB5B84" w:rsidP="009D7C82">
      <w:pPr>
        <w:ind w:left="3960"/>
        <w:rPr>
          <w:rFonts w:ascii="Times New Roman" w:hAnsi="Times New Roman" w:cs="Times New Roman"/>
          <w:lang w:val="uk-UA"/>
        </w:rPr>
      </w:pPr>
      <w:r w:rsidRPr="006D17A5">
        <w:rPr>
          <w:rFonts w:ascii="Times New Roman" w:hAnsi="Times New Roman" w:cs="Times New Roman"/>
          <w:lang w:val="uk-UA"/>
        </w:rPr>
        <w:t>Тернопільської</w:t>
      </w:r>
      <w:r w:rsidR="009D7C82" w:rsidRPr="006D17A5">
        <w:rPr>
          <w:rFonts w:ascii="Times New Roman" w:hAnsi="Times New Roman" w:cs="Times New Roman"/>
          <w:lang w:val="uk-UA"/>
        </w:rPr>
        <w:t xml:space="preserve"> обласної державної адміністрації</w:t>
      </w:r>
    </w:p>
    <w:p w:rsidR="00A141E2" w:rsidRPr="00AD5FB4" w:rsidRDefault="005E53B5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hAnsi="Times New Roman" w:cs="Times New Roman"/>
          <w:lang w:val="uk-UA"/>
        </w:rPr>
        <w:t>,,</w:t>
      </w:r>
      <w:r w:rsidR="009D7C82" w:rsidRPr="00A141E2">
        <w:rPr>
          <w:rFonts w:ascii="Times New Roman" w:hAnsi="Times New Roman" w:cs="Times New Roman"/>
          <w:bCs/>
          <w:lang w:val="uk-UA"/>
        </w:rPr>
        <w:t xml:space="preserve">Про затвердження </w:t>
      </w:r>
      <w:r w:rsidR="00AD5FB4">
        <w:rPr>
          <w:rFonts w:ascii="Times New Roman" w:eastAsia="Times New Roman" w:hAnsi="Times New Roman" w:cs="Times New Roman"/>
          <w:lang w:val="uk-UA"/>
        </w:rPr>
        <w:t xml:space="preserve">Положення про порядок 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 xml:space="preserve">функціонування та вимоги 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 xml:space="preserve">до автоматизованої системи 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>обліку оплати</w:t>
      </w:r>
      <w:r w:rsidR="00ED635D">
        <w:rPr>
          <w:rFonts w:ascii="Times New Roman" w:eastAsia="Times New Roman" w:hAnsi="Times New Roman" w:cs="Times New Roman"/>
          <w:lang w:val="uk-UA"/>
        </w:rPr>
        <w:t xml:space="preserve"> </w:t>
      </w:r>
      <w:r w:rsidRPr="00A141E2">
        <w:rPr>
          <w:rFonts w:ascii="Times New Roman" w:eastAsia="Times New Roman" w:hAnsi="Times New Roman" w:cs="Times New Roman"/>
        </w:rPr>
        <w:t>проїзду на міжміських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 xml:space="preserve">і приміських автобусних маршрутах 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>загального</w:t>
      </w:r>
      <w:r w:rsidR="00ED635D">
        <w:rPr>
          <w:rFonts w:ascii="Times New Roman" w:eastAsia="Times New Roman" w:hAnsi="Times New Roman" w:cs="Times New Roman"/>
          <w:lang w:val="uk-UA"/>
        </w:rPr>
        <w:t xml:space="preserve"> </w:t>
      </w:r>
      <w:r w:rsidRPr="00A141E2">
        <w:rPr>
          <w:rFonts w:ascii="Times New Roman" w:eastAsia="Times New Roman" w:hAnsi="Times New Roman" w:cs="Times New Roman"/>
        </w:rPr>
        <w:t>користування,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 xml:space="preserve">що проходять територією двох 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>або більше територіальних громад</w:t>
      </w:r>
    </w:p>
    <w:p w:rsid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>та не виходять за межі території</w:t>
      </w:r>
    </w:p>
    <w:p w:rsidR="009D7C82" w:rsidRPr="00A141E2" w:rsidRDefault="00A141E2" w:rsidP="002D3F46">
      <w:pPr>
        <w:ind w:firstLine="3969"/>
        <w:rPr>
          <w:rFonts w:ascii="Times New Roman" w:eastAsia="Times New Roman" w:hAnsi="Times New Roman" w:cs="Times New Roman"/>
          <w:lang w:val="uk-UA"/>
        </w:rPr>
      </w:pPr>
      <w:r w:rsidRPr="00A141E2">
        <w:rPr>
          <w:rFonts w:ascii="Times New Roman" w:eastAsia="Times New Roman" w:hAnsi="Times New Roman" w:cs="Times New Roman"/>
        </w:rPr>
        <w:t>Тернопільської області</w:t>
      </w:r>
      <w:r w:rsidR="005E53B5" w:rsidRPr="00A141E2">
        <w:rPr>
          <w:rFonts w:ascii="Times New Roman" w:eastAsia="Times New Roman" w:hAnsi="Times New Roman" w:cs="Times New Roman"/>
        </w:rPr>
        <w:t>”</w:t>
      </w: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D17A5">
        <w:rPr>
          <w:rFonts w:ascii="Times New Roman" w:hAnsi="Times New Roman" w:cs="Times New Roman"/>
          <w:b/>
          <w:bCs/>
          <w:lang w:val="uk-UA"/>
        </w:rPr>
        <w:t>Тест малого підприємництва (М-Тест)</w:t>
      </w: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D17A5">
        <w:rPr>
          <w:rFonts w:ascii="Times New Roman" w:hAnsi="Times New Roman" w:cs="Times New Roman"/>
          <w:b/>
          <w:bCs/>
          <w:lang w:val="uk-UA"/>
        </w:rPr>
        <w:t>як складова аналізу регуляторного впливу</w:t>
      </w: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6D17A5">
        <w:rPr>
          <w:rFonts w:ascii="Times New Roman" w:hAnsi="Times New Roman" w:cs="Times New Roman"/>
          <w:b/>
          <w:bCs/>
          <w:lang w:val="uk-UA"/>
        </w:rPr>
        <w:t>1. Консультації з представниками мікро</w:t>
      </w:r>
      <w:r w:rsidR="00ED635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6D17A5">
        <w:rPr>
          <w:rFonts w:ascii="Times New Roman" w:hAnsi="Times New Roman" w:cs="Times New Roman"/>
          <w:b/>
          <w:bCs/>
          <w:lang w:val="uk-UA"/>
        </w:rPr>
        <w:t xml:space="preserve"> та малого підприємництва щодо оцінки впливу регулювання.</w:t>
      </w:r>
    </w:p>
    <w:p w:rsidR="009D7C82" w:rsidRPr="006D17A5" w:rsidRDefault="009D7C82" w:rsidP="009D7C82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9D7C82" w:rsidRPr="006D17A5" w:rsidRDefault="009D7C82" w:rsidP="009D7C8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6D17A5">
        <w:rPr>
          <w:rFonts w:ascii="Times New Roman" w:hAnsi="Times New Roman" w:cs="Times New Roman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дотримання вимог регулювання, проведено управлінням</w:t>
      </w:r>
      <w:r w:rsidR="00FB5B84" w:rsidRPr="006D17A5">
        <w:rPr>
          <w:rFonts w:ascii="Times New Roman" w:hAnsi="Times New Roman" w:cs="Times New Roman"/>
          <w:lang w:val="uk-UA"/>
        </w:rPr>
        <w:t xml:space="preserve"> </w:t>
      </w:r>
      <w:r w:rsidR="005E53B5" w:rsidRPr="006D17A5">
        <w:rPr>
          <w:rFonts w:ascii="Times New Roman" w:hAnsi="Times New Roman" w:cs="Times New Roman"/>
          <w:lang w:val="uk-UA"/>
        </w:rPr>
        <w:t xml:space="preserve">розвитку </w:t>
      </w:r>
      <w:proofErr w:type="spellStart"/>
      <w:r w:rsidR="005E53B5" w:rsidRPr="006D17A5">
        <w:rPr>
          <w:rFonts w:ascii="Times New Roman" w:hAnsi="Times New Roman" w:cs="Times New Roman"/>
          <w:lang w:val="uk-UA"/>
        </w:rPr>
        <w:t>розвитку</w:t>
      </w:r>
      <w:proofErr w:type="spellEnd"/>
      <w:r w:rsidRPr="006D17A5">
        <w:rPr>
          <w:rFonts w:ascii="Times New Roman" w:hAnsi="Times New Roman" w:cs="Times New Roman"/>
          <w:lang w:val="uk-UA"/>
        </w:rPr>
        <w:t xml:space="preserve"> інфраструктури </w:t>
      </w:r>
      <w:r w:rsidR="00FB5B84" w:rsidRPr="006D17A5">
        <w:rPr>
          <w:rFonts w:ascii="Times New Roman" w:hAnsi="Times New Roman" w:cs="Times New Roman"/>
          <w:lang w:val="uk-UA"/>
        </w:rPr>
        <w:t>Тернопільської</w:t>
      </w:r>
      <w:r w:rsidRPr="006D17A5">
        <w:rPr>
          <w:rFonts w:ascii="Times New Roman" w:hAnsi="Times New Roman" w:cs="Times New Roman"/>
          <w:lang w:val="uk-UA"/>
        </w:rPr>
        <w:t xml:space="preserve"> обласної державної адміністрації з </w:t>
      </w:r>
      <w:r w:rsidR="002D3F46">
        <w:rPr>
          <w:rFonts w:ascii="Times New Roman" w:hAnsi="Times New Roman" w:cs="Times New Roman"/>
          <w:lang w:val="uk-UA"/>
        </w:rPr>
        <w:t>01</w:t>
      </w:r>
      <w:r w:rsidR="0038285D" w:rsidRPr="006D17A5">
        <w:rPr>
          <w:rFonts w:ascii="Times New Roman" w:hAnsi="Times New Roman" w:cs="Times New Roman"/>
          <w:lang w:val="uk-UA"/>
        </w:rPr>
        <w:t xml:space="preserve"> </w:t>
      </w:r>
      <w:r w:rsidR="002D3F46">
        <w:rPr>
          <w:rFonts w:ascii="Times New Roman" w:hAnsi="Times New Roman" w:cs="Times New Roman"/>
          <w:lang w:val="uk-UA"/>
        </w:rPr>
        <w:t>листопада</w:t>
      </w:r>
      <w:r w:rsidR="00362203">
        <w:rPr>
          <w:rFonts w:ascii="Times New Roman" w:hAnsi="Times New Roman" w:cs="Times New Roman"/>
          <w:lang w:val="uk-UA"/>
        </w:rPr>
        <w:t xml:space="preserve"> 2023</w:t>
      </w:r>
      <w:r w:rsidRPr="006D17A5">
        <w:rPr>
          <w:rFonts w:ascii="Times New Roman" w:hAnsi="Times New Roman" w:cs="Times New Roman"/>
          <w:lang w:val="uk-UA"/>
        </w:rPr>
        <w:t xml:space="preserve"> року по </w:t>
      </w:r>
      <w:r w:rsidR="00362203">
        <w:rPr>
          <w:rFonts w:ascii="Times New Roman" w:hAnsi="Times New Roman" w:cs="Times New Roman"/>
          <w:lang w:val="uk-UA"/>
        </w:rPr>
        <w:t>2</w:t>
      </w:r>
      <w:r w:rsidR="006972DB" w:rsidRPr="006972DB">
        <w:rPr>
          <w:rFonts w:ascii="Times New Roman" w:hAnsi="Times New Roman" w:cs="Times New Roman"/>
          <w:lang w:val="uk-UA"/>
        </w:rPr>
        <w:t>0</w:t>
      </w:r>
      <w:r w:rsidRPr="006D17A5">
        <w:rPr>
          <w:rFonts w:ascii="Times New Roman" w:hAnsi="Times New Roman" w:cs="Times New Roman"/>
          <w:lang w:val="uk-UA"/>
        </w:rPr>
        <w:t xml:space="preserve"> </w:t>
      </w:r>
      <w:r w:rsidR="002D3F46">
        <w:rPr>
          <w:rFonts w:ascii="Times New Roman" w:hAnsi="Times New Roman" w:cs="Times New Roman"/>
          <w:lang w:val="uk-UA"/>
        </w:rPr>
        <w:t>листопада</w:t>
      </w:r>
      <w:r w:rsidR="00362203">
        <w:rPr>
          <w:rFonts w:ascii="Times New Roman" w:hAnsi="Times New Roman" w:cs="Times New Roman"/>
          <w:lang w:val="uk-UA"/>
        </w:rPr>
        <w:t xml:space="preserve"> 2023</w:t>
      </w:r>
      <w:r w:rsidRPr="006D17A5">
        <w:rPr>
          <w:rFonts w:ascii="Times New Roman" w:hAnsi="Times New Roman" w:cs="Times New Roman"/>
          <w:lang w:val="uk-UA"/>
        </w:rPr>
        <w:t xml:space="preserve"> року.</w:t>
      </w:r>
    </w:p>
    <w:p w:rsidR="009D7C82" w:rsidRPr="006D17A5" w:rsidRDefault="009D7C82" w:rsidP="009D7C82">
      <w:pPr>
        <w:ind w:firstLine="708"/>
        <w:jc w:val="both"/>
        <w:rPr>
          <w:rFonts w:ascii="Times New Roman" w:hAnsi="Times New Roman" w:cs="Times New Roman"/>
          <w:color w:val="FF0000"/>
          <w:lang w:val="uk-UA"/>
        </w:rPr>
      </w:pPr>
      <w:r w:rsidRPr="006D17A5">
        <w:rPr>
          <w:rFonts w:ascii="Times New Roman" w:hAnsi="Times New Roman" w:cs="Times New Roman"/>
          <w:lang w:val="uk-UA" w:eastAsia="en-US"/>
        </w:rPr>
        <w:t>Консультування проведено при робочих зустрічах з суб’єктами господарювання, які на даний час здійснюють діяльність у сфері пасажирських перевезень.</w:t>
      </w:r>
    </w:p>
    <w:p w:rsidR="009D7C82" w:rsidRPr="006D17A5" w:rsidRDefault="009D7C82" w:rsidP="009D7C82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987"/>
        <w:gridCol w:w="1984"/>
        <w:gridCol w:w="3792"/>
      </w:tblGrid>
      <w:tr w:rsidR="009D7C82" w:rsidRPr="006D17A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/>
              </w:rPr>
              <w:t>Таблиця 1</w:t>
            </w:r>
          </w:p>
        </w:tc>
      </w:tr>
      <w:tr w:rsidR="009D7C82" w:rsidRPr="006D17A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D17A5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Вид консультації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Кількість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учасників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консультацій,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Основні результати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17A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консультацій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9D7C82" w:rsidRPr="006D17A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Робочі зустрічі, круглі столи, обговорення, наради щодо</w:t>
            </w:r>
          </w:p>
          <w:p w:rsidR="009D7C82" w:rsidRPr="006D17A5" w:rsidRDefault="009D7C82" w:rsidP="00FB5B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 xml:space="preserve">аналізу статистичних даних про результати діяльності </w:t>
            </w:r>
            <w:r w:rsidRPr="006D17A5">
              <w:rPr>
                <w:rFonts w:ascii="Times New Roman" w:hAnsi="Times New Roman" w:cs="Times New Roman"/>
                <w:lang w:val="uk-UA"/>
              </w:rPr>
              <w:lastRenderedPageBreak/>
              <w:t xml:space="preserve">пасажирського автомобільного транспорту на території </w:t>
            </w:r>
            <w:r w:rsidR="00FB5B84" w:rsidRPr="006D17A5">
              <w:rPr>
                <w:rFonts w:ascii="Times New Roman" w:hAnsi="Times New Roman" w:cs="Times New Roman"/>
                <w:lang w:val="uk-UA"/>
              </w:rPr>
              <w:t>Тернопільської</w:t>
            </w:r>
            <w:r w:rsidRPr="006D17A5">
              <w:rPr>
                <w:rFonts w:ascii="Times New Roman" w:hAnsi="Times New Roman" w:cs="Times New Roman"/>
                <w:lang w:val="uk-UA"/>
              </w:rPr>
              <w:t xml:space="preserve"> області, усне опитування, анкетування.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lastRenderedPageBreak/>
              <w:t>35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Отримано інформацію від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суб’єктів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господарювання про</w:t>
            </w:r>
          </w:p>
          <w:p w:rsidR="009D7C82" w:rsidRPr="006D17A5" w:rsidRDefault="009D7C82" w:rsidP="00872F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 xml:space="preserve">витрати часу та коштів на підготовку </w:t>
            </w:r>
            <w:r w:rsidR="00872F7A">
              <w:rPr>
                <w:rFonts w:ascii="Times New Roman" w:hAnsi="Times New Roman" w:cs="Times New Roman"/>
                <w:lang w:val="uk-UA"/>
              </w:rPr>
              <w:t xml:space="preserve">та встановлення приладів обліку у </w:t>
            </w:r>
            <w:r w:rsidR="00872F7A">
              <w:rPr>
                <w:rFonts w:ascii="Times New Roman" w:hAnsi="Times New Roman" w:cs="Times New Roman"/>
                <w:lang w:val="uk-UA"/>
              </w:rPr>
              <w:lastRenderedPageBreak/>
              <w:t>транспортних засобах що використовуються для перевезення пасажирів</w:t>
            </w:r>
            <w:r w:rsidRPr="006D17A5">
              <w:rPr>
                <w:rFonts w:ascii="Times New Roman" w:hAnsi="Times New Roman" w:cs="Times New Roman"/>
                <w:lang w:val="uk-UA"/>
              </w:rPr>
              <w:t xml:space="preserve"> та ін.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У цілому запропоноване</w:t>
            </w:r>
          </w:p>
          <w:p w:rsidR="009D7C82" w:rsidRPr="006D17A5" w:rsidRDefault="009D7C82" w:rsidP="00922240">
            <w:pPr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регулювання учасниками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Консультацій сприймається.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Прийнятним є те, що</w:t>
            </w:r>
          </w:p>
          <w:p w:rsidR="009D7C82" w:rsidRPr="006D17A5" w:rsidRDefault="009D7C82" w:rsidP="00922240">
            <w:pPr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запропоноване регулювання</w:t>
            </w:r>
          </w:p>
          <w:p w:rsidR="009D7C82" w:rsidRPr="006D17A5" w:rsidRDefault="009D7C82" w:rsidP="009222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здійснюватиметься за допомогою системи заходів, розроблених з урахуванням вимог ринку пасажирських перевезень на території області та інтересів суб'єктів малого бізнесу - автомобільних перевізників. Вказана система заходів ґрунтується на застосовуванні правового механізму регулювання, а також механізмів сприяння і контролю. Також належним чином було сприйнято те, що прямий вплив на регулювання установлених бізнес-процесів (прийняття регуляторного акту), закріпить процедурні питання, що виникають між суб’єктами малого бізнесу-</w:t>
            </w:r>
          </w:p>
          <w:p w:rsidR="009D7C82" w:rsidRPr="006D17A5" w:rsidRDefault="009D7C82" w:rsidP="00872F7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D17A5">
              <w:rPr>
                <w:rFonts w:ascii="Times New Roman" w:hAnsi="Times New Roman" w:cs="Times New Roman"/>
                <w:lang w:val="uk-UA"/>
              </w:rPr>
              <w:t>автомобільними перевізниками та організатором –</w:t>
            </w:r>
            <w:r w:rsidR="00FB5B84" w:rsidRPr="006D17A5">
              <w:rPr>
                <w:rFonts w:ascii="Times New Roman" w:hAnsi="Times New Roman" w:cs="Times New Roman"/>
                <w:lang w:val="uk-UA"/>
              </w:rPr>
              <w:t>Тернопільською</w:t>
            </w:r>
            <w:r w:rsidRPr="006D17A5">
              <w:rPr>
                <w:rFonts w:ascii="Times New Roman" w:hAnsi="Times New Roman" w:cs="Times New Roman"/>
                <w:lang w:val="uk-UA"/>
              </w:rPr>
              <w:t xml:space="preserve"> обласною державною адміністрацією, що в цілому мінімізує в</w:t>
            </w:r>
            <w:r w:rsidR="00872F7A">
              <w:rPr>
                <w:rFonts w:ascii="Times New Roman" w:hAnsi="Times New Roman" w:cs="Times New Roman"/>
                <w:lang w:val="uk-UA"/>
              </w:rPr>
              <w:t>иникнення спірних питань під час функціонування автоматизованої системи обліку оплати проїзду</w:t>
            </w:r>
            <w:r w:rsidRPr="006D17A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794E74" w:rsidRDefault="00794E74" w:rsidP="009D7C82">
      <w:pPr>
        <w:widowControl w:val="0"/>
        <w:tabs>
          <w:tab w:val="left" w:pos="1133"/>
        </w:tabs>
        <w:overflowPunct/>
        <w:autoSpaceDE/>
        <w:autoSpaceDN/>
        <w:adjustRightInd/>
        <w:spacing w:after="300" w:line="322" w:lineRule="exact"/>
        <w:jc w:val="both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  <w:bookmarkStart w:id="1" w:name="bookmark11"/>
    </w:p>
    <w:p w:rsidR="00872F7A" w:rsidRPr="006D17A5" w:rsidRDefault="00872F7A" w:rsidP="009D7C82">
      <w:pPr>
        <w:widowControl w:val="0"/>
        <w:tabs>
          <w:tab w:val="left" w:pos="1133"/>
        </w:tabs>
        <w:overflowPunct/>
        <w:autoSpaceDE/>
        <w:autoSpaceDN/>
        <w:adjustRightInd/>
        <w:spacing w:after="300" w:line="322" w:lineRule="exact"/>
        <w:jc w:val="both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</w:p>
    <w:p w:rsidR="009D7C82" w:rsidRPr="006D17A5" w:rsidRDefault="009D7C82" w:rsidP="009D7C82">
      <w:pPr>
        <w:widowControl w:val="0"/>
        <w:numPr>
          <w:ilvl w:val="0"/>
          <w:numId w:val="1"/>
        </w:numPr>
        <w:tabs>
          <w:tab w:val="left" w:pos="1133"/>
        </w:tabs>
        <w:overflowPunct/>
        <w:autoSpaceDE/>
        <w:autoSpaceDN/>
        <w:adjustRightInd/>
        <w:spacing w:after="300" w:line="322" w:lineRule="exact"/>
        <w:ind w:firstLine="840"/>
        <w:jc w:val="both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  <w:r w:rsidRPr="006D17A5">
        <w:rPr>
          <w:rFonts w:ascii="Times New Roman" w:hAnsi="Times New Roman" w:cs="Times New Roman"/>
          <w:b/>
          <w:bCs/>
          <w:color w:val="000000"/>
          <w:lang w:val="uk-UA" w:eastAsia="uk-UA"/>
        </w:rPr>
        <w:lastRenderedPageBreak/>
        <w:t>Вимірювання впливу регулювання на суб’єктів малого підприємництва (мікро- та малі).</w:t>
      </w:r>
      <w:bookmarkEnd w:id="1"/>
    </w:p>
    <w:p w:rsidR="009D7C82" w:rsidRPr="006D17A5" w:rsidRDefault="009D7C82" w:rsidP="009D7C82">
      <w:pPr>
        <w:widowControl w:val="0"/>
        <w:tabs>
          <w:tab w:val="left" w:pos="1133"/>
        </w:tabs>
        <w:spacing w:line="322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lang w:val="uk-UA" w:eastAsia="uk-UA"/>
        </w:rPr>
      </w:pPr>
      <w:r w:rsidRPr="006D17A5">
        <w:rPr>
          <w:rFonts w:ascii="Times New Roman" w:hAnsi="Times New Roman" w:cs="Times New Roman"/>
          <w:color w:val="000000"/>
          <w:lang w:val="uk-UA" w:eastAsia="uk-UA"/>
        </w:rPr>
        <w:t xml:space="preserve">Кількість суб’єктів малого підприємництва, на яких поширюється регулювання: </w:t>
      </w:r>
      <w:r w:rsidR="00FB5B84" w:rsidRPr="006D17A5">
        <w:rPr>
          <w:rFonts w:ascii="Times New Roman" w:hAnsi="Times New Roman" w:cs="Times New Roman"/>
          <w:lang w:val="uk-UA"/>
        </w:rPr>
        <w:t>23</w:t>
      </w:r>
      <w:r w:rsidR="00872F7A">
        <w:rPr>
          <w:rFonts w:ascii="Times New Roman" w:hAnsi="Times New Roman" w:cs="Times New Roman"/>
          <w:lang w:val="uk-UA"/>
        </w:rPr>
        <w:t>0</w:t>
      </w:r>
      <w:r w:rsidRPr="006D17A5">
        <w:rPr>
          <w:rFonts w:ascii="Times New Roman" w:hAnsi="Times New Roman" w:cs="Times New Roman"/>
          <w:color w:val="000000"/>
          <w:lang w:val="uk-UA" w:eastAsia="uk-UA"/>
        </w:rPr>
        <w:t xml:space="preserve"> (одиниць), у тому числі малого підприємництва </w:t>
      </w:r>
      <w:r w:rsidR="00FB5B84" w:rsidRPr="006D17A5">
        <w:rPr>
          <w:rFonts w:ascii="Times New Roman" w:hAnsi="Times New Roman" w:cs="Times New Roman"/>
          <w:color w:val="000000"/>
          <w:lang w:val="uk-UA" w:eastAsia="uk-UA"/>
        </w:rPr>
        <w:t>68</w:t>
      </w:r>
      <w:r w:rsidRPr="006D17A5">
        <w:rPr>
          <w:rFonts w:ascii="Times New Roman" w:hAnsi="Times New Roman" w:cs="Times New Roman"/>
          <w:color w:val="000000"/>
          <w:lang w:val="uk-UA" w:eastAsia="uk-UA"/>
        </w:rPr>
        <w:t xml:space="preserve"> (одиниць) та </w:t>
      </w:r>
      <w:proofErr w:type="spellStart"/>
      <w:r w:rsidRPr="006D17A5">
        <w:rPr>
          <w:rFonts w:ascii="Times New Roman" w:hAnsi="Times New Roman" w:cs="Times New Roman"/>
          <w:color w:val="000000"/>
          <w:lang w:val="uk-UA" w:eastAsia="uk-UA"/>
        </w:rPr>
        <w:t>мікропідприємництва</w:t>
      </w:r>
      <w:proofErr w:type="spellEnd"/>
      <w:r w:rsidRPr="006D17A5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872F7A">
        <w:rPr>
          <w:rFonts w:ascii="Times New Roman" w:hAnsi="Times New Roman" w:cs="Times New Roman"/>
          <w:color w:val="000000"/>
          <w:lang w:val="uk-UA" w:eastAsia="uk-UA"/>
        </w:rPr>
        <w:t>162</w:t>
      </w:r>
      <w:r w:rsidR="00FB5B84" w:rsidRPr="006D17A5">
        <w:rPr>
          <w:rFonts w:ascii="Times New Roman" w:hAnsi="Times New Roman" w:cs="Times New Roman"/>
          <w:color w:val="000000"/>
          <w:lang w:val="uk-UA" w:eastAsia="uk-UA"/>
        </w:rPr>
        <w:t xml:space="preserve"> (одиниці</w:t>
      </w:r>
      <w:r w:rsidRPr="006D17A5">
        <w:rPr>
          <w:rFonts w:ascii="Times New Roman" w:hAnsi="Times New Roman" w:cs="Times New Roman"/>
          <w:color w:val="000000"/>
          <w:lang w:val="uk-UA" w:eastAsia="uk-UA"/>
        </w:rPr>
        <w:t>).</w:t>
      </w:r>
    </w:p>
    <w:p w:rsidR="009D7C82" w:rsidRPr="006D17A5" w:rsidRDefault="009D7C82" w:rsidP="009D7C82">
      <w:pPr>
        <w:widowControl w:val="0"/>
        <w:tabs>
          <w:tab w:val="left" w:pos="1133"/>
        </w:tabs>
        <w:spacing w:after="300" w:line="322" w:lineRule="exact"/>
        <w:ind w:firstLine="709"/>
        <w:jc w:val="both"/>
        <w:outlineLvl w:val="0"/>
        <w:rPr>
          <w:rFonts w:ascii="Times New Roman" w:hAnsi="Times New Roman" w:cs="Times New Roman"/>
          <w:lang w:val="uk-UA"/>
        </w:rPr>
      </w:pPr>
      <w:r w:rsidRPr="006D17A5">
        <w:rPr>
          <w:rFonts w:ascii="Times New Roman" w:hAnsi="Times New Roman" w:cs="Times New Roman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 складає 100%.</w:t>
      </w:r>
    </w:p>
    <w:p w:rsidR="009D7C82" w:rsidRPr="006D17A5" w:rsidRDefault="009D7C82" w:rsidP="009D7C82">
      <w:pPr>
        <w:widowControl w:val="0"/>
        <w:tabs>
          <w:tab w:val="left" w:pos="1133"/>
        </w:tabs>
        <w:spacing w:after="300" w:line="322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  <w:r w:rsidRPr="00362203">
        <w:rPr>
          <w:rFonts w:ascii="Times New Roman" w:hAnsi="Times New Roman" w:cs="Times New Roman"/>
          <w:b/>
          <w:color w:val="000000"/>
          <w:lang w:val="uk-UA" w:eastAsia="uk-UA"/>
        </w:rPr>
        <w:t>3.</w:t>
      </w:r>
      <w:r w:rsidRPr="006D17A5">
        <w:rPr>
          <w:rFonts w:ascii="Times New Roman" w:hAnsi="Times New Roman" w:cs="Times New Roman"/>
          <w:b/>
          <w:bCs/>
          <w:color w:val="000000"/>
          <w:lang w:val="uk-UA" w:eastAsia="uk-UA"/>
        </w:rPr>
        <w:t xml:space="preserve"> Розрахунок витрат суб’єктів малого підприємництва, що виникають на виконання вимог регулювання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3502"/>
        <w:gridCol w:w="2131"/>
        <w:gridCol w:w="1621"/>
        <w:gridCol w:w="1704"/>
      </w:tblGrid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№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Найменування оцінки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У перший рік (стартовий рік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упровадження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регулювання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Періодичні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(за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наступний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рік)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Витрати 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за 5 років</w:t>
            </w:r>
          </w:p>
        </w:tc>
      </w:tr>
      <w:tr w:rsidR="009D7C82" w:rsidRPr="006D17A5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необхідного обладнання (пристроїв, машин, механізмів).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Розраховується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як кількість необхідних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одиниць обладнання *вартість одиниці.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В тому числі придбання: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17000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17000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0925DA" w:rsidRDefault="009D7C82" w:rsidP="000925DA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="000925DA">
              <w:rPr>
                <w:rFonts w:ascii="Times New Roman" w:hAnsi="Times New Roman" w:cs="Times New Roman"/>
                <w:color w:val="000000"/>
                <w:lang w:val="en-US" w:eastAsia="uk-UA"/>
              </w:rPr>
              <w:t xml:space="preserve">GPS </w:t>
            </w:r>
            <w:proofErr w:type="spellStart"/>
            <w:r w:rsidR="000925DA">
              <w:rPr>
                <w:rFonts w:ascii="Times New Roman" w:hAnsi="Times New Roman" w:cs="Times New Roman"/>
                <w:color w:val="000000"/>
                <w:lang w:val="uk-UA" w:eastAsia="uk-UA"/>
              </w:rPr>
              <w:t>трекер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5000</w:t>
            </w:r>
            <w:r w:rsidR="009D7C82" w:rsidRPr="006D17A5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5000</w:t>
            </w:r>
            <w:r w:rsidR="009D7C82" w:rsidRPr="006D17A5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0925DA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="000925DA">
              <w:rPr>
                <w:rFonts w:ascii="Times New Roman" w:hAnsi="Times New Roman" w:cs="Times New Roman"/>
                <w:color w:val="000000"/>
                <w:lang w:val="uk-UA" w:eastAsia="uk-UA"/>
              </w:rPr>
              <w:t>приладу обліку оплати проїзду</w:t>
            </w: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12000</w:t>
            </w:r>
            <w:r w:rsidR="009D7C82"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12000</w:t>
            </w:r>
            <w:r w:rsidR="009D7C82" w:rsidRPr="006D17A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Процедури повірки та/або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постановки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на відповідний облік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у визначеному органі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державної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влади чи місцевого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самоврядування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 xml:space="preserve">(Прямі витрати на процедури повірки (проведення первинного обстеження) в органі </w:t>
            </w: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lastRenderedPageBreak/>
              <w:t>державної влади + Витрати часу на процедуру обліку (на одиницю обладнання)*вартість часу суб’єкта малого підприємництва (з/плата) *оціночна кількість процедур обліку за рік)*кількість необхідних одиниць обладнання одному суб’єкту малого підприємництва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Процедури експлуатації обладнання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(експлуатаційні витрати - витратні матеріали)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Формула: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Оцінка витрат на експлуатації обладнання (розхідні матеріали та ресурси на одиницю обладнання на рік) *кількість необхідних одиниць обладнання одному суб’єкту малого підприємництва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A12D91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10000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A12D91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A12D91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50000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Процедури обслуговування обладнання (технічне обслуговування) Формула: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>Оцінка вартості процедури обслуговування обладнання (на одиницю обладнання) * Кількість процедур ТО на рік на одиницю обладнання</w:t>
            </w: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 * 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 xml:space="preserve">кількість необхідних одиниць обладнання одному суб’єкту малого 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lastRenderedPageBreak/>
              <w:t>підприємництва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A12D91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3000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A12D91" w:rsidP="00A12D91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A12D91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15000</w:t>
            </w:r>
          </w:p>
        </w:tc>
      </w:tr>
      <w:tr w:rsidR="009D7C82" w:rsidRPr="006D17A5"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5.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Інші процедури</w:t>
            </w:r>
            <w:r w:rsidR="003C52F6"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, в тому числі</w:t>
            </w: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1000,00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1000,00</w:t>
            </w:r>
          </w:p>
        </w:tc>
      </w:tr>
      <w:tr w:rsidR="009D7C82" w:rsidRPr="006D17A5"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3C52F6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- </w:t>
            </w:r>
            <w:r w:rsidR="000925DA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послуги встановлення обладнання у транспортні засоби</w:t>
            </w:r>
            <w:r w:rsidR="009D7C82"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:</w:t>
            </w:r>
          </w:p>
          <w:p w:rsidR="009D7C82" w:rsidRPr="006D17A5" w:rsidRDefault="009D7C82" w:rsidP="000925DA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(1000,00 - у перший рік, за 5 років – витрати не зміняться, у зв’язку з тим, що строк дії </w:t>
            </w:r>
            <w:r w:rsidR="000925DA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обладнання</w:t>
            </w: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 не обмежується певним строком).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1000,00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1000,00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Разом, грн.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0925DA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31</w:t>
            </w:r>
            <w:r w:rsidR="001146FD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1146F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83 000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82" w:rsidRPr="006D17A5" w:rsidRDefault="00FB5B84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23</w:t>
            </w:r>
            <w:r w:rsidR="001146FD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Сумарно, грн.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1146F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7 130 000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1B3F0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1146F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19 090 000</w:t>
            </w:r>
          </w:p>
        </w:tc>
      </w:tr>
      <w:tr w:rsidR="009D7C82" w:rsidRPr="006D17A5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Оцінка вартості</w:t>
            </w: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D17A5">
              <w:rPr>
                <w:rFonts w:ascii="Times New Roman" w:eastAsia="Arial Unicode MS" w:hAnsi="Times New Roman" w:cs="Times New Roman"/>
                <w:bCs/>
                <w:color w:val="000000"/>
                <w:lang w:val="uk-UA" w:eastAsia="uk-UA"/>
              </w:rPr>
              <w:t>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Процедури отримання первинної інформації про вимоги регулювання 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Формула:</w:t>
            </w:r>
          </w:p>
          <w:p w:rsidR="009D7C82" w:rsidRPr="006D17A5" w:rsidRDefault="009D7C82" w:rsidP="00922240">
            <w:pPr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>витрати часу на отримання інформації про регулювання, отримання необхідних форм та заявок *вартість часу суб’єкта малого підприємництва</w:t>
            </w: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(заробітна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плата) *оціночна кількість форм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eastAsia="Arial Unicode MS" w:hAnsi="Times New Roman" w:cs="Times New Roman"/>
                <w:i/>
                <w:iCs/>
                <w:lang w:val="ru-RU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  <w:t>0,5 год.</w:t>
            </w:r>
            <w:r w:rsidRPr="006D17A5">
              <w:rPr>
                <w:rFonts w:ascii="Times New Roman" w:eastAsia="Arial Unicode MS" w:hAnsi="Times New Roman" w:cs="Times New Roman"/>
                <w:lang w:val="uk-UA" w:eastAsia="uk-UA"/>
              </w:rPr>
              <w:t xml:space="preserve"> * 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  <w:t>25,13 грн. (згідно ст. 8 Закону України від 23.11.2018р. N2629-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lang w:val="en-US" w:eastAsia="uk-UA"/>
              </w:rPr>
              <w:t>VIII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lang w:val="ru-RU" w:eastAsia="uk-UA"/>
              </w:rPr>
              <w:t>,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b/>
                <w:bCs/>
                <w:shd w:val="clear" w:color="auto" w:fill="ECEEEF"/>
              </w:rPr>
              <w:t xml:space="preserve"> 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  <w:t>вартість 1 люд/год. з 01.01.2018р. становить 25,13 грн.)</w:t>
            </w:r>
            <w:r w:rsidRPr="006D17A5">
              <w:rPr>
                <w:rFonts w:ascii="Times New Roman" w:eastAsia="Arial Unicode MS" w:hAnsi="Times New Roman" w:cs="Times New Roman"/>
                <w:lang w:val="uk-UA" w:eastAsia="uk-UA"/>
              </w:rPr>
              <w:t xml:space="preserve"> * 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  <w:t xml:space="preserve">1 (ознайомлення з умовами </w:t>
            </w:r>
            <w:r w:rsidRPr="006D17A5"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  <w:lastRenderedPageBreak/>
              <w:t xml:space="preserve">конкурсу)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1146F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lastRenderedPageBreak/>
              <w:t>26</w:t>
            </w:r>
            <w:r w:rsidR="009D7C82" w:rsidRPr="006D17A5">
              <w:rPr>
                <w:rFonts w:ascii="Times New Roman" w:hAnsi="Times New Roman" w:cs="Times New Roman"/>
                <w:lang w:val="uk-UA" w:eastAsia="uk-UA"/>
              </w:rPr>
              <w:t xml:space="preserve"> грн.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ind w:left="20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1146F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</w:t>
            </w:r>
            <w:r w:rsidR="009D7C82" w:rsidRPr="006D17A5">
              <w:rPr>
                <w:rFonts w:ascii="Times New Roman" w:hAnsi="Times New Roman" w:cs="Times New Roman"/>
                <w:lang w:val="uk-UA" w:eastAsia="uk-UA"/>
              </w:rPr>
              <w:t xml:space="preserve"> грн.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10.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Процедури організації виконання вимог регулювання: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підготовка документів </w:t>
            </w:r>
            <w:r w:rsidR="001146FD">
              <w:rPr>
                <w:rFonts w:ascii="Times New Roman" w:hAnsi="Times New Roman" w:cs="Times New Roman"/>
                <w:color w:val="000000"/>
                <w:lang w:val="uk-UA" w:eastAsia="uk-UA"/>
              </w:rPr>
              <w:t>що стосуються впровадження автоматизованої системи обліку оплати проїзду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Формула: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витрати часу на розробку та впровадження внутрішніх для суб’єкту малого підприємництва процедур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i/>
                <w:iCs/>
                <w:color w:val="000000"/>
                <w:lang w:val="uk-UA" w:eastAsia="uk-UA"/>
              </w:rPr>
              <w:t>на впровадження вимог регулювання * вартість часу суб’єкта малого підприємництва (заробітна</w:t>
            </w:r>
          </w:p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 xml:space="preserve">плата) *оціночна кількість внутрішніх процедур </w:t>
            </w:r>
          </w:p>
          <w:p w:rsidR="009D7C82" w:rsidRPr="006D17A5" w:rsidRDefault="00D06B9D" w:rsidP="00D06B9D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>(6</w:t>
            </w:r>
            <w:r w:rsidR="009D7C82"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 xml:space="preserve"> год. *</w:t>
            </w:r>
            <w:r>
              <w:rPr>
                <w:rFonts w:ascii="Times New Roman" w:eastAsia="Arial Unicode MS" w:hAnsi="Times New Roman" w:cs="Times New Roman"/>
                <w:i/>
                <w:iCs/>
                <w:lang w:val="uk-UA" w:eastAsia="uk-UA"/>
              </w:rPr>
              <w:t>26</w:t>
            </w:r>
            <w:r w:rsidR="009D7C82"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 xml:space="preserve"> грн. *10= 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>1560</w:t>
            </w:r>
            <w:r w:rsidR="009D7C82" w:rsidRPr="006D17A5">
              <w:rPr>
                <w:rFonts w:ascii="Times New Roman" w:eastAsia="Arial Unicode MS" w:hAnsi="Times New Roman" w:cs="Times New Roman"/>
                <w:i/>
                <w:iCs/>
                <w:color w:val="000000"/>
                <w:lang w:val="uk-UA" w:eastAsia="uk-UA"/>
              </w:rPr>
              <w:t xml:space="preserve"> грн)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1 560</w:t>
            </w:r>
            <w:r w:rsidR="009D7C82" w:rsidRPr="006D17A5">
              <w:rPr>
                <w:rFonts w:ascii="Times New Roman" w:hAnsi="Times New Roman" w:cs="Times New Roman"/>
                <w:lang w:val="uk-UA" w:eastAsia="uk-UA"/>
              </w:rPr>
              <w:t xml:space="preserve"> грн.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1 560</w:t>
            </w:r>
            <w:r w:rsidR="009D7C82" w:rsidRPr="006D17A5">
              <w:rPr>
                <w:rFonts w:ascii="Times New Roman" w:hAnsi="Times New Roman" w:cs="Times New Roman"/>
                <w:lang w:val="uk-UA" w:eastAsia="uk-UA"/>
              </w:rPr>
              <w:t xml:space="preserve"> грн.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Процедури організації виконання вимог регулювання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Процедури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із забезпечення процесу перевірок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Інші процедури (уточнити)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Разом, грн.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1 560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1 560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Кількість суб’єктів малого підприємництва, що мають виконати вимоги регулювання, одиниць</w:t>
            </w:r>
          </w:p>
        </w:tc>
        <w:tc>
          <w:tcPr>
            <w:tcW w:w="5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C82" w:rsidRPr="006D17A5" w:rsidRDefault="00FB5B84" w:rsidP="00922240">
            <w:pPr>
              <w:widowControl w:val="0"/>
              <w:tabs>
                <w:tab w:val="left" w:pos="1133"/>
              </w:tabs>
              <w:spacing w:after="300" w:line="322" w:lineRule="exact"/>
              <w:jc w:val="center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23</w:t>
            </w:r>
            <w:r w:rsidR="001146FD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</w:p>
        </w:tc>
      </w:tr>
      <w:tr w:rsidR="009D7C82" w:rsidRPr="006D17A5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16.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Сумарно, грн.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358 800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1146FD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358 800</w:t>
            </w:r>
          </w:p>
        </w:tc>
      </w:tr>
    </w:tbl>
    <w:p w:rsidR="009D7C82" w:rsidRDefault="009D7C82" w:rsidP="009D7C82">
      <w:pPr>
        <w:widowControl w:val="0"/>
        <w:tabs>
          <w:tab w:val="left" w:pos="1133"/>
        </w:tabs>
        <w:spacing w:after="300" w:line="322" w:lineRule="exact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</w:p>
    <w:p w:rsidR="007017A9" w:rsidRPr="006D17A5" w:rsidRDefault="007017A9" w:rsidP="009D7C82">
      <w:pPr>
        <w:widowControl w:val="0"/>
        <w:tabs>
          <w:tab w:val="left" w:pos="1133"/>
        </w:tabs>
        <w:spacing w:after="300" w:line="322" w:lineRule="exact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</w:p>
    <w:p w:rsidR="009D7C82" w:rsidRPr="006D17A5" w:rsidRDefault="00362203" w:rsidP="00362203">
      <w:pPr>
        <w:widowControl w:val="0"/>
        <w:tabs>
          <w:tab w:val="left" w:pos="709"/>
        </w:tabs>
        <w:spacing w:after="300" w:line="322" w:lineRule="exact"/>
        <w:outlineLvl w:val="0"/>
        <w:rPr>
          <w:rFonts w:ascii="Times New Roman" w:hAnsi="Times New Roman" w:cs="Times New Roman"/>
          <w:b/>
          <w:bCs/>
          <w:color w:val="000000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lang w:val="uk-UA" w:eastAsia="uk-UA"/>
        </w:rPr>
        <w:lastRenderedPageBreak/>
        <w:tab/>
      </w:r>
      <w:r w:rsidRPr="00362203">
        <w:rPr>
          <w:rFonts w:ascii="Times New Roman" w:hAnsi="Times New Roman" w:cs="Times New Roman"/>
          <w:b/>
          <w:bCs/>
          <w:color w:val="000000"/>
          <w:lang w:val="uk-UA" w:eastAsia="uk-UA"/>
        </w:rPr>
        <w:t>4.</w:t>
      </w:r>
      <w:r>
        <w:rPr>
          <w:rFonts w:ascii="Times New Roman" w:hAnsi="Times New Roman" w:cs="Times New Roman"/>
          <w:b/>
          <w:bCs/>
          <w:color w:val="000000"/>
          <w:lang w:val="uk-UA" w:eastAsia="uk-UA"/>
        </w:rPr>
        <w:t xml:space="preserve"> </w:t>
      </w:r>
      <w:r w:rsidR="009D7C82" w:rsidRPr="006D17A5">
        <w:rPr>
          <w:rFonts w:ascii="Times New Roman" w:hAnsi="Times New Roman" w:cs="Times New Roman"/>
          <w:b/>
          <w:bCs/>
          <w:color w:val="000000"/>
          <w:lang w:val="uk-UA" w:eastAsia="uk-UA"/>
        </w:rPr>
        <w:t>Бюджетні витрати на адміністрування регулювання суб’єктів малого підприємництва</w:t>
      </w:r>
    </w:p>
    <w:p w:rsidR="009D7C82" w:rsidRPr="006D17A5" w:rsidRDefault="009D7C82" w:rsidP="009D7C82">
      <w:pPr>
        <w:widowControl w:val="0"/>
        <w:tabs>
          <w:tab w:val="left" w:pos="1133"/>
        </w:tabs>
        <w:spacing w:after="300" w:line="322" w:lineRule="exact"/>
        <w:jc w:val="both"/>
        <w:outlineLvl w:val="0"/>
        <w:rPr>
          <w:rFonts w:ascii="Times New Roman" w:hAnsi="Times New Roman" w:cs="Times New Roman"/>
          <w:color w:val="000000"/>
          <w:lang w:val="uk-UA" w:eastAsia="uk-UA"/>
        </w:rPr>
      </w:pPr>
      <w:r w:rsidRPr="006D17A5">
        <w:rPr>
          <w:rFonts w:ascii="Times New Roman" w:hAnsi="Times New Roman" w:cs="Times New Roman"/>
          <w:color w:val="000000"/>
          <w:lang w:val="uk-UA" w:eastAsia="uk-UA"/>
        </w:rPr>
        <w:tab/>
        <w:t>Державний орган, для якого проводиться</w:t>
      </w:r>
      <w:r w:rsidRPr="006D17A5">
        <w:rPr>
          <w:rFonts w:ascii="Times New Roman" w:eastAsia="Arial Unicode MS" w:hAnsi="Times New Roman" w:cs="Times New Roman"/>
          <w:color w:val="000000"/>
          <w:lang w:val="uk-UA" w:eastAsia="uk-UA"/>
        </w:rPr>
        <w:t xml:space="preserve"> розрахунок вартості адміністрування регулювання:</w:t>
      </w:r>
    </w:p>
    <w:p w:rsidR="009D7C82" w:rsidRPr="006D17A5" w:rsidRDefault="009D7C82" w:rsidP="009D7C82">
      <w:pPr>
        <w:widowControl w:val="0"/>
        <w:tabs>
          <w:tab w:val="left" w:pos="1133"/>
        </w:tabs>
        <w:spacing w:after="300" w:line="322" w:lineRule="exact"/>
        <w:jc w:val="both"/>
        <w:outlineLvl w:val="0"/>
        <w:rPr>
          <w:rFonts w:ascii="Times New Roman" w:hAnsi="Times New Roman" w:cs="Times New Roman"/>
          <w:color w:val="000000"/>
          <w:lang w:val="uk-UA" w:eastAsia="uk-UA"/>
        </w:rPr>
      </w:pPr>
      <w:r w:rsidRPr="006D17A5">
        <w:rPr>
          <w:rFonts w:ascii="Times New Roman" w:eastAsia="Arial Unicode MS" w:hAnsi="Times New Roman" w:cs="Times New Roman"/>
          <w:lang w:val="uk-UA" w:eastAsia="uk-UA"/>
        </w:rPr>
        <w:tab/>
      </w:r>
      <w:r w:rsidR="00FB5B84" w:rsidRPr="006D17A5">
        <w:rPr>
          <w:rFonts w:ascii="Times New Roman" w:eastAsia="Arial Unicode MS" w:hAnsi="Times New Roman" w:cs="Times New Roman"/>
          <w:lang w:val="uk-UA" w:eastAsia="uk-UA"/>
        </w:rPr>
        <w:t>Тернопільська</w:t>
      </w:r>
      <w:r w:rsidRPr="006D17A5">
        <w:rPr>
          <w:rFonts w:ascii="Times New Roman" w:eastAsia="Arial Unicode MS" w:hAnsi="Times New Roman" w:cs="Times New Roman"/>
          <w:lang w:val="uk-UA" w:eastAsia="uk-UA"/>
        </w:rPr>
        <w:t xml:space="preserve"> обласна державна адміністрація.</w:t>
      </w:r>
    </w:p>
    <w:p w:rsidR="009D7C82" w:rsidRPr="006D17A5" w:rsidRDefault="009D7C82" w:rsidP="009D7C82">
      <w:pPr>
        <w:widowControl w:val="0"/>
        <w:tabs>
          <w:tab w:val="left" w:pos="1133"/>
        </w:tabs>
        <w:spacing w:line="322" w:lineRule="exact"/>
        <w:ind w:left="840"/>
        <w:jc w:val="both"/>
        <w:outlineLvl w:val="0"/>
        <w:rPr>
          <w:rFonts w:ascii="Times New Roman" w:hAnsi="Times New Roman" w:cs="Times New Roman"/>
          <w:color w:val="000000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1240"/>
        <w:gridCol w:w="1623"/>
        <w:gridCol w:w="1419"/>
        <w:gridCol w:w="1553"/>
        <w:gridCol w:w="1807"/>
      </w:tblGrid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Процедури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регулювання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суб’єктів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малого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підприємницт</w:t>
            </w:r>
            <w:proofErr w:type="spellEnd"/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ва</w:t>
            </w:r>
          </w:p>
          <w:p w:rsidR="009D7C82" w:rsidRPr="006D17A5" w:rsidRDefault="009D7C82" w:rsidP="00922240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Планові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витрати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часу на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процеду</w:t>
            </w:r>
            <w:proofErr w:type="spellEnd"/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ру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Вартість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часу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співробітни</w:t>
            </w:r>
            <w:proofErr w:type="spellEnd"/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ка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органу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державної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влади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відповідної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категорії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(заробітна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плата)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Оцінка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кількості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процедур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за рік, що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припадаю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ть</w:t>
            </w:r>
            <w:proofErr w:type="spellEnd"/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на одного суб’єкта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Оцінка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кількості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суб’єктів,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що підпадають під дію процедури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Витрати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на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адмініструва</w:t>
            </w:r>
            <w:proofErr w:type="spellEnd"/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proofErr w:type="spellStart"/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ння</w:t>
            </w:r>
            <w:proofErr w:type="spellEnd"/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регулювання</w:t>
            </w:r>
          </w:p>
          <w:p w:rsidR="009D7C82" w:rsidRPr="006D17A5" w:rsidRDefault="009D7C82" w:rsidP="00922240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*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(за рік), грн.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1. Облік суб’єкта господарювання, що перебуває 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у сфері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регулювання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2. Поточний контроль за суб’єктом господарювання, що</w:t>
            </w:r>
          </w:p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знаходиться у сфері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регулювання, у тому числі: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камеральні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виїзні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3. Підготовка, затвердження </w:t>
            </w: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lastRenderedPageBreak/>
              <w:t>та</w:t>
            </w:r>
          </w:p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опрацювання одного окремого акта про порушення вимог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регулювання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lastRenderedPageBreak/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4.Реалізація одного окремого </w:t>
            </w:r>
          </w:p>
          <w:p w:rsidR="009D7C82" w:rsidRPr="006D17A5" w:rsidRDefault="009D7C82" w:rsidP="00922240">
            <w:pPr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рішення</w:t>
            </w: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щодо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порушення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вимог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регулювання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5.Оскарження одного окремого рішення суб’єктами господарювання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6.Підготовка звітності за</w:t>
            </w:r>
          </w:p>
          <w:p w:rsidR="009D7C82" w:rsidRPr="006D17A5" w:rsidRDefault="009D7C82" w:rsidP="00922240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результатами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регулювання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-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7. Інші адміністративні процедури (уточнити):</w:t>
            </w:r>
          </w:p>
          <w:p w:rsidR="009D7C82" w:rsidRPr="006D17A5" w:rsidRDefault="009D7C82" w:rsidP="00C53F8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- укладання договору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C53F8D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2 год.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C53F8D" w:rsidP="0092224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50,26</w:t>
            </w:r>
          </w:p>
          <w:p w:rsidR="009D7C82" w:rsidRPr="006D17A5" w:rsidRDefault="009D7C82" w:rsidP="0092224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C53F8D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C53F8D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C53F8D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50,26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Разом за рік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</w:tr>
      <w:tr w:rsidR="009D7C82" w:rsidRPr="006D17A5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Сумарно за 5 років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х</w:t>
            </w:r>
          </w:p>
        </w:tc>
      </w:tr>
    </w:tbl>
    <w:p w:rsidR="009D7C82" w:rsidRPr="006D17A5" w:rsidRDefault="009D7C82" w:rsidP="009D7C82">
      <w:pPr>
        <w:spacing w:after="160" w:line="259" w:lineRule="auto"/>
        <w:rPr>
          <w:rFonts w:ascii="Times New Roman" w:hAnsi="Times New Roman" w:cs="Times New Roman"/>
          <w:b/>
          <w:bCs/>
          <w:lang w:val="uk-UA" w:eastAsia="en-US"/>
        </w:rPr>
      </w:pPr>
    </w:p>
    <w:p w:rsidR="009D7C82" w:rsidRPr="006D17A5" w:rsidRDefault="009D7C82" w:rsidP="009D7C82">
      <w:pPr>
        <w:spacing w:after="160" w:line="259" w:lineRule="auto"/>
        <w:rPr>
          <w:rFonts w:ascii="Times New Roman" w:hAnsi="Times New Roman" w:cs="Times New Roman"/>
          <w:bCs/>
          <w:lang w:val="uk-UA" w:eastAsia="en-US"/>
        </w:rPr>
      </w:pPr>
      <w:r w:rsidRPr="006D17A5">
        <w:rPr>
          <w:rFonts w:ascii="Times New Roman" w:hAnsi="Times New Roman" w:cs="Times New Roman"/>
          <w:bCs/>
          <w:lang w:val="uk-UA" w:eastAsia="en-US"/>
        </w:rPr>
        <w:t>Державне регулювання не передбачає утворення нового державного органу (або нового структурного підрозділу).</w:t>
      </w:r>
    </w:p>
    <w:p w:rsidR="009D7C82" w:rsidRPr="006D17A5" w:rsidRDefault="009D7C82" w:rsidP="009D7C82">
      <w:pPr>
        <w:spacing w:after="160" w:line="259" w:lineRule="auto"/>
        <w:rPr>
          <w:rFonts w:ascii="Times New Roman" w:hAnsi="Times New Roman" w:cs="Times New Roman"/>
          <w:bCs/>
          <w:lang w:val="uk-UA" w:eastAsia="en-US"/>
        </w:rPr>
      </w:pPr>
    </w:p>
    <w:p w:rsidR="009D7C82" w:rsidRPr="006D17A5" w:rsidRDefault="00362203" w:rsidP="00362203">
      <w:pPr>
        <w:widowControl w:val="0"/>
        <w:tabs>
          <w:tab w:val="left" w:pos="343"/>
        </w:tabs>
        <w:spacing w:line="322" w:lineRule="exact"/>
        <w:ind w:firstLine="709"/>
        <w:rPr>
          <w:rFonts w:ascii="Times New Roman" w:hAnsi="Times New Roman" w:cs="Times New Roman"/>
          <w:b/>
          <w:color w:val="000000"/>
          <w:lang w:val="uk-UA" w:eastAsia="uk-UA"/>
        </w:rPr>
      </w:pPr>
      <w:r w:rsidRPr="00362203">
        <w:rPr>
          <w:rFonts w:ascii="Times New Roman" w:hAnsi="Times New Roman" w:cs="Times New Roman"/>
          <w:b/>
          <w:color w:val="000000"/>
          <w:lang w:val="uk-UA" w:eastAsia="uk-UA"/>
        </w:rPr>
        <w:t>5</w:t>
      </w:r>
      <w:r w:rsidR="009D7C82" w:rsidRPr="00362203">
        <w:rPr>
          <w:rFonts w:ascii="Times New Roman" w:hAnsi="Times New Roman" w:cs="Times New Roman"/>
          <w:b/>
          <w:color w:val="000000"/>
          <w:lang w:val="uk-UA" w:eastAsia="uk-UA"/>
        </w:rPr>
        <w:t xml:space="preserve">. </w:t>
      </w:r>
      <w:r w:rsidR="009D7C82" w:rsidRPr="006D17A5">
        <w:rPr>
          <w:rFonts w:ascii="Times New Roman" w:hAnsi="Times New Roman" w:cs="Times New Roman"/>
          <w:b/>
          <w:color w:val="000000"/>
          <w:lang w:val="uk-UA" w:eastAsia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9D7C82" w:rsidRPr="006D17A5" w:rsidRDefault="009D7C82" w:rsidP="009D7C82">
      <w:pPr>
        <w:spacing w:after="160" w:line="259" w:lineRule="auto"/>
        <w:rPr>
          <w:rFonts w:ascii="Times New Roman" w:hAnsi="Times New Roman" w:cs="Times New Roman"/>
          <w:b/>
          <w:bCs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536"/>
        <w:gridCol w:w="1984"/>
        <w:gridCol w:w="2091"/>
      </w:tblGrid>
      <w:tr w:rsidR="009D7C82" w:rsidRPr="006D17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Перший рік</w:t>
            </w:r>
          </w:p>
          <w:p w:rsidR="009D7C82" w:rsidRPr="006D17A5" w:rsidRDefault="009D7C82" w:rsidP="00922240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color w:val="000000"/>
                <w:lang w:val="uk-UA" w:eastAsia="uk-UA"/>
              </w:rPr>
              <w:t>регулювання</w:t>
            </w:r>
          </w:p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(стартовий)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За 5 років</w:t>
            </w:r>
          </w:p>
        </w:tc>
      </w:tr>
      <w:tr w:rsidR="009D7C82" w:rsidRPr="006D17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362203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Оцінка ,,прямих”</w:t>
            </w:r>
            <w:r w:rsidR="009D7C82"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 xml:space="preserve"> витрат суб’єктів малого підприємництва на виконання регулювання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BE13A4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7 130 000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BE13A4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19 090 000</w:t>
            </w:r>
          </w:p>
        </w:tc>
      </w:tr>
      <w:tr w:rsidR="009D7C82" w:rsidRPr="006D17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358 800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358 800</w:t>
            </w:r>
          </w:p>
        </w:tc>
      </w:tr>
      <w:tr w:rsidR="009D7C82" w:rsidRPr="006D17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</w:pPr>
            <w:r w:rsidRPr="006D17A5"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BE13A4" w:rsidP="00D06B9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  <w:r w:rsidR="00D06B9D">
              <w:rPr>
                <w:rFonts w:ascii="Times New Roman" w:hAnsi="Times New Roman" w:cs="Times New Roman"/>
                <w:lang w:val="uk-UA" w:eastAsia="uk-UA"/>
              </w:rPr>
              <w:t> 488 800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D06B9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19 448 800</w:t>
            </w:r>
          </w:p>
        </w:tc>
      </w:tr>
      <w:tr w:rsidR="009D7C82" w:rsidRPr="006D17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widowControl w:val="0"/>
              <w:tabs>
                <w:tab w:val="left" w:pos="1133"/>
              </w:tabs>
              <w:spacing w:after="300" w:line="322" w:lineRule="exact"/>
              <w:outlineLvl w:val="0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6D17A5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Бюджетні витрати на адміністрування регулювання суб’єктів малого підприємництва</w:t>
            </w:r>
          </w:p>
          <w:p w:rsidR="009D7C82" w:rsidRPr="006D17A5" w:rsidRDefault="009D7C82" w:rsidP="00922240">
            <w:pPr>
              <w:spacing w:after="160" w:line="259" w:lineRule="auto"/>
              <w:rPr>
                <w:rFonts w:ascii="Times New Roman" w:eastAsia="Arial Unicode MS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22240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50,26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22240" w:rsidP="00922240">
            <w:pPr>
              <w:spacing w:after="160" w:line="259" w:lineRule="auto"/>
              <w:rPr>
                <w:rFonts w:ascii="Times New Roman" w:hAnsi="Times New Roman" w:cs="Times New Roman"/>
                <w:bCs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bCs/>
                <w:lang w:val="uk-UA" w:eastAsia="en-US"/>
              </w:rPr>
              <w:t>50,26</w:t>
            </w:r>
          </w:p>
        </w:tc>
      </w:tr>
      <w:tr w:rsidR="009D7C82" w:rsidRPr="006D17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6D17A5"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9D7C82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6D17A5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eastAsia="Arial Unicode MS" w:hAnsi="Times New Roman" w:cs="Times New Roman"/>
                <w:lang w:val="uk-UA" w:eastAsia="uk-UA"/>
              </w:rPr>
              <w:t>7 488 850, 26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82" w:rsidRPr="006D17A5" w:rsidRDefault="00D06B9D" w:rsidP="009222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eastAsia="Arial Unicode MS" w:hAnsi="Times New Roman" w:cs="Times New Roman"/>
                <w:lang w:val="uk-UA" w:eastAsia="uk-UA"/>
              </w:rPr>
              <w:t>19 448 852, 26</w:t>
            </w:r>
          </w:p>
        </w:tc>
      </w:tr>
    </w:tbl>
    <w:p w:rsidR="009D7C82" w:rsidRPr="006D17A5" w:rsidRDefault="009D7C82" w:rsidP="009D7C82">
      <w:pPr>
        <w:spacing w:after="160" w:line="259" w:lineRule="auto"/>
        <w:rPr>
          <w:rFonts w:ascii="Times New Roman" w:hAnsi="Times New Roman" w:cs="Times New Roman"/>
          <w:b/>
          <w:bCs/>
          <w:lang w:val="uk-UA" w:eastAsia="en-US"/>
        </w:rPr>
      </w:pPr>
    </w:p>
    <w:p w:rsidR="009D7C82" w:rsidRPr="006D17A5" w:rsidRDefault="009D7C82" w:rsidP="009D7C82">
      <w:pPr>
        <w:spacing w:after="160" w:line="259" w:lineRule="auto"/>
        <w:rPr>
          <w:rFonts w:ascii="Times New Roman" w:hAnsi="Times New Roman" w:cs="Times New Roman"/>
          <w:b/>
          <w:bCs/>
          <w:lang w:val="uk-UA" w:eastAsia="en-US"/>
        </w:rPr>
      </w:pPr>
    </w:p>
    <w:p w:rsidR="00126C00" w:rsidRPr="006D17A5" w:rsidRDefault="009D7C82" w:rsidP="009D7C82">
      <w:pPr>
        <w:rPr>
          <w:rFonts w:ascii="Times New Roman" w:hAnsi="Times New Roman" w:cs="Times New Roman"/>
          <w:b/>
          <w:bCs/>
          <w:lang w:val="uk-UA"/>
        </w:rPr>
      </w:pPr>
      <w:r w:rsidRPr="006D17A5">
        <w:rPr>
          <w:rFonts w:ascii="Times New Roman" w:hAnsi="Times New Roman" w:cs="Times New Roman"/>
          <w:b/>
          <w:bCs/>
          <w:lang w:val="uk-UA"/>
        </w:rPr>
        <w:t xml:space="preserve">Начальник управління </w:t>
      </w:r>
    </w:p>
    <w:p w:rsidR="00126C00" w:rsidRPr="006D17A5" w:rsidRDefault="00362203" w:rsidP="00362203">
      <w:pPr>
        <w:rPr>
          <w:rFonts w:ascii="Times New Roman" w:hAnsi="Times New Roman" w:cs="Times New Roman"/>
          <w:b/>
          <w:bCs/>
          <w:lang w:val="uk-UA"/>
        </w:rPr>
      </w:pPr>
      <w:r w:rsidRPr="006D17A5">
        <w:rPr>
          <w:rFonts w:ascii="Times New Roman" w:hAnsi="Times New Roman" w:cs="Times New Roman"/>
          <w:b/>
          <w:bCs/>
          <w:lang w:val="uk-UA"/>
        </w:rPr>
        <w:t>Р</w:t>
      </w:r>
      <w:r w:rsidR="00126C00" w:rsidRPr="006D17A5">
        <w:rPr>
          <w:rFonts w:ascii="Times New Roman" w:hAnsi="Times New Roman" w:cs="Times New Roman"/>
          <w:b/>
          <w:bCs/>
          <w:lang w:val="uk-UA"/>
        </w:rPr>
        <w:t>озвитку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9D7C82" w:rsidRPr="006D17A5">
        <w:rPr>
          <w:rFonts w:ascii="Times New Roman" w:hAnsi="Times New Roman" w:cs="Times New Roman"/>
          <w:b/>
          <w:bCs/>
          <w:lang w:val="uk-UA"/>
        </w:rPr>
        <w:t xml:space="preserve">інфраструктури </w:t>
      </w:r>
    </w:p>
    <w:p w:rsidR="009D7C82" w:rsidRPr="006D17A5" w:rsidRDefault="009D7C82" w:rsidP="009D7C82">
      <w:pPr>
        <w:rPr>
          <w:rFonts w:ascii="Times New Roman" w:eastAsia="Liberation Serif" w:hAnsi="Times New Roman" w:cs="Times New Roman"/>
          <w:b/>
          <w:bCs/>
          <w:lang w:val="uk-UA"/>
        </w:rPr>
      </w:pPr>
      <w:r w:rsidRPr="006D17A5">
        <w:rPr>
          <w:rFonts w:ascii="Times New Roman" w:hAnsi="Times New Roman" w:cs="Times New Roman"/>
          <w:b/>
          <w:bCs/>
          <w:lang w:val="uk-UA"/>
        </w:rPr>
        <w:t>обласної</w:t>
      </w:r>
      <w:r w:rsidR="00126C00" w:rsidRPr="006D17A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6D17A5">
        <w:rPr>
          <w:rFonts w:ascii="Times New Roman" w:hAnsi="Times New Roman" w:cs="Times New Roman"/>
          <w:b/>
          <w:bCs/>
          <w:lang w:val="uk-UA"/>
        </w:rPr>
        <w:t xml:space="preserve">державної адміністрації       </w:t>
      </w:r>
      <w:r w:rsidR="00362203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="00794E74" w:rsidRPr="006D17A5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362203">
        <w:rPr>
          <w:rFonts w:ascii="Times New Roman" w:hAnsi="Times New Roman" w:cs="Times New Roman"/>
          <w:b/>
          <w:bCs/>
          <w:lang w:val="uk-UA"/>
        </w:rPr>
        <w:t>Михайло ОЛІЙНИК</w:t>
      </w:r>
    </w:p>
    <w:p w:rsidR="009D7C82" w:rsidRPr="006D17A5" w:rsidRDefault="009D7C82" w:rsidP="009D7C82">
      <w:pPr>
        <w:rPr>
          <w:rFonts w:ascii="Times New Roman" w:eastAsia="Liberation Serif" w:hAnsi="Times New Roman" w:cs="Times New Roman"/>
          <w:b/>
          <w:bCs/>
          <w:lang w:val="uk-UA"/>
        </w:rPr>
      </w:pPr>
    </w:p>
    <w:p w:rsidR="00DE56EB" w:rsidRPr="006D17A5" w:rsidRDefault="00DE56EB">
      <w:pPr>
        <w:rPr>
          <w:rFonts w:ascii="Times New Roman" w:hAnsi="Times New Roman" w:cs="Times New Roman"/>
          <w:lang w:val="uk-UA"/>
        </w:rPr>
      </w:pPr>
    </w:p>
    <w:sectPr w:rsidR="00DE56EB" w:rsidRPr="006D17A5" w:rsidSect="00362203">
      <w:headerReference w:type="default" r:id="rId7"/>
      <w:pgSz w:w="11906" w:h="16838"/>
      <w:pgMar w:top="1134" w:right="566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A1" w:rsidRDefault="002E31A1">
      <w:r>
        <w:separator/>
      </w:r>
    </w:p>
  </w:endnote>
  <w:endnote w:type="continuationSeparator" w:id="0">
    <w:p w:rsidR="002E31A1" w:rsidRDefault="002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A1" w:rsidRDefault="002E31A1">
      <w:r>
        <w:separator/>
      </w:r>
    </w:p>
  </w:footnote>
  <w:footnote w:type="continuationSeparator" w:id="0">
    <w:p w:rsidR="002E31A1" w:rsidRDefault="002E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02" w:rsidRPr="00617F05" w:rsidRDefault="001B3F02">
    <w:pPr>
      <w:pStyle w:val="a3"/>
      <w:jc w:val="center"/>
      <w:rPr>
        <w:rFonts w:ascii="Times New Roman" w:hAnsi="Times New Roman" w:cs="Times New Roman"/>
      </w:rPr>
    </w:pPr>
    <w:r w:rsidRPr="00617F05">
      <w:rPr>
        <w:rFonts w:ascii="Times New Roman" w:hAnsi="Times New Roman" w:cs="Times New Roman"/>
      </w:rPr>
      <w:fldChar w:fldCharType="begin"/>
    </w:r>
    <w:r w:rsidRPr="00617F05">
      <w:rPr>
        <w:rFonts w:ascii="Times New Roman" w:hAnsi="Times New Roman" w:cs="Times New Roman"/>
      </w:rPr>
      <w:instrText>PAGE   \* MERGEFORMAT</w:instrText>
    </w:r>
    <w:r w:rsidRPr="00617F05">
      <w:rPr>
        <w:rFonts w:ascii="Times New Roman" w:hAnsi="Times New Roman" w:cs="Times New Roman"/>
      </w:rPr>
      <w:fldChar w:fldCharType="separate"/>
    </w:r>
    <w:r w:rsidR="007017A9" w:rsidRPr="007017A9">
      <w:rPr>
        <w:rFonts w:ascii="Times New Roman" w:hAnsi="Times New Roman" w:cs="Times New Roman"/>
        <w:noProof/>
        <w:lang w:val="ru-RU"/>
      </w:rPr>
      <w:t>8</w:t>
    </w:r>
    <w:r w:rsidRPr="00617F05">
      <w:rPr>
        <w:rFonts w:ascii="Times New Roman" w:hAnsi="Times New Roman" w:cs="Times New Roman"/>
      </w:rPr>
      <w:fldChar w:fldCharType="end"/>
    </w:r>
  </w:p>
  <w:p w:rsidR="001B3F02" w:rsidRDefault="001B3F02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32FB3"/>
    <w:multiLevelType w:val="multilevel"/>
    <w:tmpl w:val="FDEE2A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AF055B9"/>
    <w:multiLevelType w:val="hybridMultilevel"/>
    <w:tmpl w:val="CFB4E92C"/>
    <w:lvl w:ilvl="0" w:tplc="26F4B25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82"/>
    <w:rsid w:val="00027D1A"/>
    <w:rsid w:val="000529BE"/>
    <w:rsid w:val="000925DA"/>
    <w:rsid w:val="00107571"/>
    <w:rsid w:val="001146FD"/>
    <w:rsid w:val="0012404E"/>
    <w:rsid w:val="00126C00"/>
    <w:rsid w:val="001B3F02"/>
    <w:rsid w:val="001F36D0"/>
    <w:rsid w:val="00264B6A"/>
    <w:rsid w:val="002D3F46"/>
    <w:rsid w:val="002E31A1"/>
    <w:rsid w:val="00362203"/>
    <w:rsid w:val="00374481"/>
    <w:rsid w:val="0038285D"/>
    <w:rsid w:val="003C52F6"/>
    <w:rsid w:val="003E4EF0"/>
    <w:rsid w:val="003F0E74"/>
    <w:rsid w:val="004C5EC4"/>
    <w:rsid w:val="00530D43"/>
    <w:rsid w:val="00563D84"/>
    <w:rsid w:val="00590840"/>
    <w:rsid w:val="005E53B5"/>
    <w:rsid w:val="005F38D6"/>
    <w:rsid w:val="006852C0"/>
    <w:rsid w:val="006972DB"/>
    <w:rsid w:val="006A4784"/>
    <w:rsid w:val="006D17A5"/>
    <w:rsid w:val="007017A9"/>
    <w:rsid w:val="00794E74"/>
    <w:rsid w:val="0086377D"/>
    <w:rsid w:val="00872F7A"/>
    <w:rsid w:val="0089093A"/>
    <w:rsid w:val="008F6816"/>
    <w:rsid w:val="00922240"/>
    <w:rsid w:val="009863C3"/>
    <w:rsid w:val="009D7C82"/>
    <w:rsid w:val="00A12D91"/>
    <w:rsid w:val="00A141E2"/>
    <w:rsid w:val="00AD5FB4"/>
    <w:rsid w:val="00AF457F"/>
    <w:rsid w:val="00BC2FD2"/>
    <w:rsid w:val="00BE13A4"/>
    <w:rsid w:val="00BE65BE"/>
    <w:rsid w:val="00C53F8D"/>
    <w:rsid w:val="00C95376"/>
    <w:rsid w:val="00CD462C"/>
    <w:rsid w:val="00D06B9D"/>
    <w:rsid w:val="00DD4418"/>
    <w:rsid w:val="00DE56EB"/>
    <w:rsid w:val="00EC377B"/>
    <w:rsid w:val="00ED635D"/>
    <w:rsid w:val="00F84F6D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1D8131-8846-4E4A-BA69-B626FBC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7C82"/>
    <w:pPr>
      <w:overflowPunct w:val="0"/>
      <w:autoSpaceDE w:val="0"/>
      <w:autoSpaceDN w:val="0"/>
      <w:adjustRightInd w:val="0"/>
    </w:pPr>
    <w:rPr>
      <w:rFonts w:ascii="Antiqua" w:eastAsia="Calibri" w:hAnsi="Antiqua" w:cs="Antiqua"/>
      <w:sz w:val="28"/>
      <w:szCs w:val="28"/>
      <w:lang w:val="hr-HR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D7C8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locked/>
    <w:rsid w:val="009D7C82"/>
    <w:rPr>
      <w:rFonts w:ascii="Antiqua" w:eastAsia="Calibri" w:hAnsi="Antiqua" w:cs="Antiqua"/>
      <w:sz w:val="28"/>
      <w:szCs w:val="28"/>
      <w:lang w:val="hr-HR" w:eastAsia="ru-RU" w:bidi="ar-SA"/>
    </w:rPr>
  </w:style>
  <w:style w:type="paragraph" w:styleId="a5">
    <w:name w:val="Body Text"/>
    <w:basedOn w:val="a"/>
    <w:link w:val="a6"/>
    <w:rsid w:val="009D7C82"/>
    <w:pPr>
      <w:overflowPunct/>
      <w:adjustRightInd/>
      <w:jc w:val="center"/>
    </w:pPr>
    <w:rPr>
      <w:rFonts w:ascii="Times New Roman" w:hAnsi="Times New Roman" w:cs="Times New Roman"/>
      <w:color w:val="000000"/>
      <w:spacing w:val="1"/>
      <w:sz w:val="24"/>
      <w:szCs w:val="24"/>
      <w:lang w:val="ru-RU"/>
    </w:rPr>
  </w:style>
  <w:style w:type="character" w:customStyle="1" w:styleId="a6">
    <w:name w:val="Основний текст Знак"/>
    <w:link w:val="a5"/>
    <w:locked/>
    <w:rsid w:val="009D7C82"/>
    <w:rPr>
      <w:rFonts w:eastAsia="Calibri"/>
      <w:color w:val="000000"/>
      <w:spacing w:val="1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7448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locked/>
    <w:rsid w:val="00374481"/>
    <w:rPr>
      <w:rFonts w:ascii="Antiqua" w:eastAsia="Calibri" w:hAnsi="Antiqua" w:cs="Antiqua"/>
      <w:sz w:val="28"/>
      <w:szCs w:val="28"/>
      <w:lang w:val="hr-HR" w:eastAsia="ru-RU" w:bidi="ar-SA"/>
    </w:rPr>
  </w:style>
  <w:style w:type="paragraph" w:styleId="a9">
    <w:name w:val="Balloon Text"/>
    <w:basedOn w:val="a"/>
    <w:link w:val="aa"/>
    <w:rsid w:val="001F36D0"/>
    <w:rPr>
      <w:rFonts w:ascii="Tahoma" w:hAnsi="Tahoma" w:cs="Times New Roman"/>
      <w:sz w:val="16"/>
      <w:szCs w:val="16"/>
    </w:rPr>
  </w:style>
  <w:style w:type="character" w:customStyle="1" w:styleId="aa">
    <w:name w:val="Текст у виносці Знак"/>
    <w:link w:val="a9"/>
    <w:rsid w:val="001F36D0"/>
    <w:rPr>
      <w:rFonts w:ascii="Tahoma" w:eastAsia="Calibri" w:hAnsi="Tahoma" w:cs="Tahoma"/>
      <w:sz w:val="16"/>
      <w:szCs w:val="16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5433</Words>
  <Characters>3098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Reanimator Extreme Edition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leptop</dc:creator>
  <cp:keywords/>
  <cp:lastModifiedBy>Сергій Вербовий</cp:lastModifiedBy>
  <cp:revision>2</cp:revision>
  <cp:lastPrinted>2023-10-20T06:19:00Z</cp:lastPrinted>
  <dcterms:created xsi:type="dcterms:W3CDTF">2023-12-27T14:16:00Z</dcterms:created>
  <dcterms:modified xsi:type="dcterms:W3CDTF">2023-12-27T14:16:00Z</dcterms:modified>
</cp:coreProperties>
</file>